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64" w:rsidRPr="00F973D8" w:rsidRDefault="000B7664" w:rsidP="000B7664">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7664" w:rsidRPr="00F973D8" w:rsidRDefault="000B7664" w:rsidP="000B7664">
      <w:pPr>
        <w:pStyle w:val="Naslov2"/>
        <w:tabs>
          <w:tab w:val="left" w:pos="3120"/>
        </w:tabs>
        <w:jc w:val="center"/>
        <w:rPr>
          <w:b w:val="0"/>
          <w:bCs w:val="0"/>
          <w:i/>
          <w:iCs/>
          <w:sz w:val="22"/>
        </w:rPr>
      </w:pPr>
      <w:r w:rsidRPr="00F973D8">
        <w:rPr>
          <w:b w:val="0"/>
          <w:bCs w:val="0"/>
          <w:sz w:val="22"/>
        </w:rPr>
        <w:t>Slovensko gospodarsko in raziskovalno združenje, Bruselj</w:t>
      </w:r>
    </w:p>
    <w:p w:rsidR="000B7664" w:rsidRPr="00F973D8" w:rsidRDefault="000B7664" w:rsidP="000B7664">
      <w:pPr>
        <w:pBdr>
          <w:bottom w:val="single" w:sz="6" w:space="1" w:color="auto"/>
        </w:pBdr>
        <w:tabs>
          <w:tab w:val="left" w:pos="3120"/>
        </w:tabs>
        <w:jc w:val="center"/>
        <w:rPr>
          <w:sz w:val="16"/>
          <w:szCs w:val="16"/>
        </w:rPr>
      </w:pPr>
    </w:p>
    <w:p w:rsidR="000B7664" w:rsidRPr="002414B9" w:rsidRDefault="000B7664" w:rsidP="000B7664">
      <w:pPr>
        <w:tabs>
          <w:tab w:val="left" w:pos="3120"/>
        </w:tabs>
        <w:jc w:val="center"/>
        <w:rPr>
          <w:rFonts w:ascii="Arial" w:hAnsi="Arial" w:cs="Arial"/>
          <w:b/>
        </w:rPr>
      </w:pPr>
      <w:r>
        <w:rPr>
          <w:rFonts w:ascii="Arial" w:hAnsi="Arial" w:cs="Arial"/>
          <w:b/>
        </w:rPr>
        <w:t>Občasna informacija članom 170</w:t>
      </w:r>
      <w:r w:rsidRPr="002414B9">
        <w:rPr>
          <w:rFonts w:ascii="Arial" w:hAnsi="Arial" w:cs="Arial"/>
          <w:b/>
        </w:rPr>
        <w:t xml:space="preserve"> – 2017</w:t>
      </w:r>
    </w:p>
    <w:p w:rsidR="000B7664" w:rsidRPr="00F973D8" w:rsidRDefault="000B7664" w:rsidP="000B7664">
      <w:pPr>
        <w:pStyle w:val="Brezrazmikov"/>
        <w:jc w:val="center"/>
        <w:rPr>
          <w:rFonts w:ascii="Arial" w:hAnsi="Arial" w:cs="Arial"/>
          <w:b/>
        </w:rPr>
      </w:pPr>
      <w:r>
        <w:rPr>
          <w:rFonts w:ascii="Arial" w:hAnsi="Arial" w:cs="Arial"/>
          <w:b/>
        </w:rPr>
        <w:t>20</w:t>
      </w:r>
      <w:r w:rsidRPr="00F973D8">
        <w:rPr>
          <w:rFonts w:ascii="Arial" w:hAnsi="Arial" w:cs="Arial"/>
          <w:b/>
        </w:rPr>
        <w:t xml:space="preserve">. </w:t>
      </w:r>
      <w:r>
        <w:rPr>
          <w:rFonts w:ascii="Arial" w:hAnsi="Arial" w:cs="Arial"/>
          <w:b/>
        </w:rPr>
        <w:t>november</w:t>
      </w:r>
      <w:r w:rsidRPr="00F973D8">
        <w:rPr>
          <w:rFonts w:ascii="Arial" w:hAnsi="Arial" w:cs="Arial"/>
          <w:b/>
        </w:rPr>
        <w:t xml:space="preserve"> 2017</w:t>
      </w:r>
    </w:p>
    <w:p w:rsidR="000B7664" w:rsidRDefault="000B7664" w:rsidP="000B7664">
      <w:pPr>
        <w:jc w:val="center"/>
        <w:rPr>
          <w:rFonts w:ascii="Arial" w:hAnsi="Arial" w:cs="Arial"/>
          <w:b/>
          <w:i/>
        </w:rPr>
      </w:pPr>
      <w:r>
        <w:rPr>
          <w:rFonts w:ascii="Arial" w:hAnsi="Arial" w:cs="Arial"/>
          <w:b/>
          <w:color w:val="993300"/>
          <w:sz w:val="32"/>
          <w:szCs w:val="32"/>
        </w:rPr>
        <w:t>Sredstva za promocijo evropskih kmetijsko-prehrambnih izdelkov v letu 2018</w:t>
      </w:r>
    </w:p>
    <w:p w:rsidR="000D5A62" w:rsidRPr="006A0A1E" w:rsidRDefault="000D5A62" w:rsidP="006A0A1E">
      <w:pPr>
        <w:rPr>
          <w:rFonts w:ascii="Arial" w:hAnsi="Arial" w:cs="Arial"/>
          <w:b/>
          <w:i/>
        </w:rPr>
      </w:pPr>
      <w:r w:rsidRPr="006A0A1E">
        <w:rPr>
          <w:rFonts w:ascii="Arial" w:hAnsi="Arial" w:cs="Arial"/>
          <w:b/>
          <w:i/>
        </w:rPr>
        <w:t xml:space="preserve">Evropska komisija bo v letu 2018 za promocijo evropskih kmetijsko-prehrambnih izdelkov razdelila </w:t>
      </w:r>
      <w:r w:rsidR="00172AAC">
        <w:rPr>
          <w:rFonts w:ascii="Arial" w:hAnsi="Arial" w:cs="Arial"/>
          <w:b/>
          <w:i/>
        </w:rPr>
        <w:t>179 milijonov</w:t>
      </w:r>
      <w:r w:rsidRPr="006A0A1E">
        <w:rPr>
          <w:rFonts w:ascii="Arial" w:hAnsi="Arial" w:cs="Arial"/>
          <w:b/>
          <w:i/>
        </w:rPr>
        <w:t xml:space="preserve"> evrov, piše v pravkar sprejetem programu dela za leto 2018. Ta sredstva namerava razdeliti v glavnem za promocijo na trgih, kjer je največ možnosti za rast. Znotraj EU bo podprla promocijske kampanje za informiranje potrošnikov o različnih shemah kakovosti, organsko pridelanih živil, izdelkov z Zaščiteno označbo porekla (ZOP), Zaščiteno geografsko označbo (ZGO) in imajo znak Zajamčena tradicionalna posebnost (ZTP). </w:t>
      </w:r>
      <w:r w:rsidR="000B7664" w:rsidRPr="000B7664">
        <w:rPr>
          <w:rFonts w:ascii="Arial" w:hAnsi="Arial" w:cs="Arial"/>
          <w:b/>
          <w:i/>
        </w:rPr>
        <w:t>Razpisi bodo objavljeni januarja 2018.</w:t>
      </w:r>
    </w:p>
    <w:p w:rsidR="000D5A62" w:rsidRPr="006A0A1E" w:rsidRDefault="000D5A62" w:rsidP="006A0A1E">
      <w:pPr>
        <w:rPr>
          <w:rFonts w:ascii="Arial" w:hAnsi="Arial" w:cs="Arial"/>
          <w:sz w:val="20"/>
          <w:szCs w:val="20"/>
        </w:rPr>
      </w:pPr>
      <w:r w:rsidRPr="006A0A1E">
        <w:rPr>
          <w:rFonts w:ascii="Arial" w:hAnsi="Arial" w:cs="Arial"/>
          <w:sz w:val="20"/>
          <w:szCs w:val="20"/>
        </w:rPr>
        <w:t xml:space="preserve">Med sektorji bo sofinanciranje osredotočeno za trajnostno rejo ovac in koz, na promocijo zdravega prehranjevanja, za povečanje uživanja sadja in zelenjave, da bi omilili posledice embarga Rusije za uvoz sadja in zelenjave iz EU. </w:t>
      </w:r>
    </w:p>
    <w:p w:rsidR="000D5A62" w:rsidRPr="006A0A1E" w:rsidRDefault="000D5A62" w:rsidP="006A0A1E">
      <w:pPr>
        <w:rPr>
          <w:rFonts w:ascii="Arial" w:hAnsi="Arial" w:cs="Arial"/>
          <w:b/>
          <w:sz w:val="20"/>
          <w:szCs w:val="20"/>
        </w:rPr>
      </w:pPr>
      <w:r w:rsidRPr="006A0A1E">
        <w:rPr>
          <w:rFonts w:ascii="Arial" w:hAnsi="Arial" w:cs="Arial"/>
          <w:b/>
          <w:sz w:val="20"/>
          <w:szCs w:val="20"/>
        </w:rPr>
        <w:t xml:space="preserve">Tabela 1: Razrez </w:t>
      </w:r>
      <w:r w:rsidR="00172AAC">
        <w:rPr>
          <w:rFonts w:ascii="Arial" w:hAnsi="Arial" w:cs="Arial"/>
          <w:b/>
          <w:sz w:val="20"/>
          <w:szCs w:val="20"/>
        </w:rPr>
        <w:t xml:space="preserve">sredstev za enostavne programe </w:t>
      </w:r>
    </w:p>
    <w:tbl>
      <w:tblPr>
        <w:tblStyle w:val="Tabela-mrea"/>
        <w:tblW w:w="0" w:type="auto"/>
        <w:tblLook w:val="04A0"/>
      </w:tblPr>
      <w:tblGrid>
        <w:gridCol w:w="3070"/>
        <w:gridCol w:w="3071"/>
        <w:gridCol w:w="3071"/>
      </w:tblGrid>
      <w:tr w:rsidR="006A0A1E" w:rsidRPr="006A0A1E" w:rsidTr="00456CBF">
        <w:tc>
          <w:tcPr>
            <w:tcW w:w="3070" w:type="dxa"/>
            <w:vAlign w:val="center"/>
          </w:tcPr>
          <w:p w:rsidR="006A0A1E" w:rsidRPr="006A0A1E" w:rsidRDefault="006A0A1E" w:rsidP="006A0A1E">
            <w:pPr>
              <w:rPr>
                <w:rFonts w:ascii="Arial" w:hAnsi="Arial" w:cs="Arial"/>
                <w:b/>
                <w:sz w:val="20"/>
                <w:szCs w:val="20"/>
              </w:rPr>
            </w:pPr>
            <w:r w:rsidRPr="006A0A1E">
              <w:rPr>
                <w:rFonts w:ascii="Arial" w:hAnsi="Arial" w:cs="Arial"/>
                <w:b/>
                <w:sz w:val="20"/>
                <w:szCs w:val="20"/>
              </w:rPr>
              <w:t>SIMPLE PROGRAMMES</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€m</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proofErr w:type="spellStart"/>
            <w:r w:rsidRPr="006A0A1E">
              <w:rPr>
                <w:rFonts w:ascii="Arial" w:hAnsi="Arial" w:cs="Arial"/>
                <w:sz w:val="20"/>
                <w:szCs w:val="20"/>
              </w:rPr>
              <w:t>Focused</w:t>
            </w:r>
            <w:proofErr w:type="spellEnd"/>
            <w:r w:rsidRPr="006A0A1E">
              <w:rPr>
                <w:rFonts w:ascii="Arial" w:hAnsi="Arial" w:cs="Arial"/>
                <w:sz w:val="20"/>
                <w:szCs w:val="20"/>
              </w:rPr>
              <w:t xml:space="preserve"> on </w:t>
            </w:r>
            <w:proofErr w:type="spellStart"/>
            <w:r w:rsidRPr="006A0A1E">
              <w:rPr>
                <w:rFonts w:ascii="Arial" w:hAnsi="Arial" w:cs="Arial"/>
                <w:sz w:val="20"/>
                <w:szCs w:val="20"/>
              </w:rPr>
              <w:t>the</w:t>
            </w:r>
            <w:proofErr w:type="spellEnd"/>
            <w:r w:rsidRPr="006A0A1E">
              <w:rPr>
                <w:rFonts w:ascii="Arial" w:hAnsi="Arial" w:cs="Arial"/>
                <w:sz w:val="20"/>
                <w:szCs w:val="20"/>
              </w:rPr>
              <w:t xml:space="preserve"> EU</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20%</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20</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1.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on EU </w:t>
            </w:r>
            <w:proofErr w:type="spellStart"/>
            <w:r w:rsidRPr="006A0A1E">
              <w:rPr>
                <w:rFonts w:ascii="Arial" w:hAnsi="Arial" w:cs="Arial"/>
                <w:sz w:val="20"/>
                <w:szCs w:val="20"/>
              </w:rPr>
              <w:t>quality</w:t>
            </w:r>
            <w:proofErr w:type="spellEnd"/>
            <w:r w:rsidRPr="006A0A1E">
              <w:rPr>
                <w:rFonts w:ascii="Arial" w:hAnsi="Arial" w:cs="Arial"/>
                <w:sz w:val="20"/>
                <w:szCs w:val="20"/>
              </w:rPr>
              <w:t xml:space="preserve"> </w:t>
            </w:r>
            <w:proofErr w:type="spellStart"/>
            <w:r w:rsidRPr="006A0A1E">
              <w:rPr>
                <w:rFonts w:ascii="Arial" w:hAnsi="Arial" w:cs="Arial"/>
                <w:sz w:val="20"/>
                <w:szCs w:val="20"/>
              </w:rPr>
              <w:t>schemes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55%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11</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2.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w:t>
            </w:r>
            <w:proofErr w:type="spellStart"/>
            <w:r w:rsidRPr="006A0A1E">
              <w:rPr>
                <w:rFonts w:ascii="Arial" w:hAnsi="Arial" w:cs="Arial"/>
                <w:sz w:val="20"/>
                <w:szCs w:val="20"/>
              </w:rPr>
              <w:t>highlighting</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specific</w:t>
            </w:r>
            <w:proofErr w:type="spellEnd"/>
            <w:r w:rsidRPr="006A0A1E">
              <w:rPr>
                <w:rFonts w:ascii="Arial" w:hAnsi="Arial" w:cs="Arial"/>
                <w:sz w:val="20"/>
                <w:szCs w:val="20"/>
              </w:rPr>
              <w:t xml:space="preserve"> </w:t>
            </w:r>
            <w:proofErr w:type="spellStart"/>
            <w:r w:rsidRPr="006A0A1E">
              <w:rPr>
                <w:rFonts w:ascii="Arial" w:hAnsi="Arial" w:cs="Arial"/>
                <w:sz w:val="20"/>
                <w:szCs w:val="20"/>
              </w:rPr>
              <w:t>features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w:t>
            </w:r>
            <w:proofErr w:type="spellStart"/>
            <w:r w:rsidRPr="006A0A1E">
              <w:rPr>
                <w:rFonts w:ascii="Arial" w:hAnsi="Arial" w:cs="Arial"/>
                <w:sz w:val="20"/>
                <w:szCs w:val="20"/>
              </w:rPr>
              <w:t>agricultural</w:t>
            </w:r>
            <w:proofErr w:type="spellEnd"/>
            <w:r w:rsidRPr="006A0A1E">
              <w:rPr>
                <w:rFonts w:ascii="Arial" w:hAnsi="Arial" w:cs="Arial"/>
                <w:sz w:val="20"/>
                <w:szCs w:val="20"/>
              </w:rPr>
              <w:t xml:space="preserve"> </w:t>
            </w:r>
            <w:proofErr w:type="spellStart"/>
            <w:r w:rsidRPr="006A0A1E">
              <w:rPr>
                <w:rFonts w:ascii="Arial" w:hAnsi="Arial" w:cs="Arial"/>
                <w:sz w:val="20"/>
                <w:szCs w:val="20"/>
              </w:rPr>
              <w:t>methods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EU </w:t>
            </w:r>
            <w:proofErr w:type="spellStart"/>
            <w:r w:rsidRPr="006A0A1E">
              <w:rPr>
                <w:rFonts w:ascii="Arial" w:hAnsi="Arial" w:cs="Arial"/>
                <w:sz w:val="20"/>
                <w:szCs w:val="20"/>
              </w:rPr>
              <w:t>and</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characteristics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EU </w:t>
            </w:r>
            <w:proofErr w:type="spellStart"/>
            <w:r w:rsidRPr="006A0A1E">
              <w:rPr>
                <w:rFonts w:ascii="Arial" w:hAnsi="Arial" w:cs="Arial"/>
                <w:sz w:val="20"/>
                <w:szCs w:val="20"/>
              </w:rPr>
              <w:t>agri</w:t>
            </w:r>
            <w:proofErr w:type="spellEnd"/>
            <w:r w:rsidRPr="006A0A1E">
              <w:rPr>
                <w:rFonts w:ascii="Arial" w:hAnsi="Arial" w:cs="Arial"/>
                <w:sz w:val="20"/>
                <w:szCs w:val="20"/>
              </w:rPr>
              <w:t>-</w:t>
            </w:r>
            <w:proofErr w:type="spellStart"/>
            <w:r w:rsidRPr="006A0A1E">
              <w:rPr>
                <w:rFonts w:ascii="Arial" w:hAnsi="Arial" w:cs="Arial"/>
                <w:sz w:val="20"/>
                <w:szCs w:val="20"/>
              </w:rPr>
              <w:t>food</w:t>
            </w:r>
            <w:proofErr w:type="spellEnd"/>
            <w:r w:rsidRPr="006A0A1E">
              <w:rPr>
                <w:rFonts w:ascii="Arial" w:hAnsi="Arial" w:cs="Arial"/>
                <w:sz w:val="20"/>
                <w:szCs w:val="20"/>
              </w:rPr>
              <w:t xml:space="preserve"> </w:t>
            </w:r>
            <w:proofErr w:type="spellStart"/>
            <w:r w:rsidRPr="006A0A1E">
              <w:rPr>
                <w:rFonts w:ascii="Arial" w:hAnsi="Arial" w:cs="Arial"/>
                <w:sz w:val="20"/>
                <w:szCs w:val="20"/>
              </w:rPr>
              <w:t>products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35%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7</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3.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on </w:t>
            </w:r>
            <w:proofErr w:type="spellStart"/>
            <w:r w:rsidRPr="006A0A1E">
              <w:rPr>
                <w:rFonts w:ascii="Arial" w:hAnsi="Arial" w:cs="Arial"/>
                <w:sz w:val="20"/>
                <w:szCs w:val="20"/>
              </w:rPr>
              <w:t>sustainable</w:t>
            </w:r>
            <w:proofErr w:type="spellEnd"/>
            <w:r w:rsidRPr="006A0A1E">
              <w:rPr>
                <w:rFonts w:ascii="Arial" w:hAnsi="Arial" w:cs="Arial"/>
                <w:sz w:val="20"/>
                <w:szCs w:val="20"/>
              </w:rPr>
              <w:t xml:space="preserve"> </w:t>
            </w:r>
            <w:proofErr w:type="spellStart"/>
            <w:r w:rsidRPr="006A0A1E">
              <w:rPr>
                <w:rFonts w:ascii="Arial" w:hAnsi="Arial" w:cs="Arial"/>
                <w:sz w:val="20"/>
                <w:szCs w:val="20"/>
              </w:rPr>
              <w:t>sheep</w:t>
            </w:r>
            <w:proofErr w:type="spellEnd"/>
            <w:r w:rsidRPr="006A0A1E">
              <w:rPr>
                <w:rFonts w:ascii="Arial" w:hAnsi="Arial" w:cs="Arial"/>
                <w:sz w:val="20"/>
                <w:szCs w:val="20"/>
              </w:rPr>
              <w:t>/</w:t>
            </w:r>
            <w:proofErr w:type="spellStart"/>
            <w:r w:rsidRPr="006A0A1E">
              <w:rPr>
                <w:rFonts w:ascii="Arial" w:hAnsi="Arial" w:cs="Arial"/>
                <w:sz w:val="20"/>
                <w:szCs w:val="20"/>
              </w:rPr>
              <w:t>goat</w:t>
            </w:r>
            <w:proofErr w:type="spellEnd"/>
            <w:r w:rsidRPr="006A0A1E">
              <w:rPr>
                <w:rFonts w:ascii="Arial" w:hAnsi="Arial" w:cs="Arial"/>
                <w:sz w:val="20"/>
                <w:szCs w:val="20"/>
              </w:rPr>
              <w:t xml:space="preserve"> </w:t>
            </w:r>
            <w:proofErr w:type="spellStart"/>
            <w:r w:rsidRPr="006A0A1E">
              <w:rPr>
                <w:rFonts w:ascii="Arial" w:hAnsi="Arial" w:cs="Arial"/>
                <w:sz w:val="20"/>
                <w:szCs w:val="20"/>
              </w:rPr>
              <w:t>meat</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10%</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proofErr w:type="spellStart"/>
            <w:r w:rsidRPr="006A0A1E">
              <w:rPr>
                <w:rFonts w:ascii="Arial" w:hAnsi="Arial" w:cs="Arial"/>
                <w:sz w:val="20"/>
                <w:szCs w:val="20"/>
              </w:rPr>
              <w:t>Focused</w:t>
            </w:r>
            <w:proofErr w:type="spellEnd"/>
            <w:r w:rsidRPr="006A0A1E">
              <w:rPr>
                <w:rFonts w:ascii="Arial" w:hAnsi="Arial" w:cs="Arial"/>
                <w:sz w:val="20"/>
                <w:szCs w:val="20"/>
              </w:rPr>
              <w:t xml:space="preserve"> on </w:t>
            </w:r>
            <w:proofErr w:type="spellStart"/>
            <w:r w:rsidRPr="006A0A1E">
              <w:rPr>
                <w:rFonts w:ascii="Arial" w:hAnsi="Arial" w:cs="Arial"/>
                <w:sz w:val="20"/>
                <w:szCs w:val="20"/>
              </w:rPr>
              <w:t>non</w:t>
            </w:r>
            <w:proofErr w:type="spellEnd"/>
            <w:r w:rsidRPr="006A0A1E">
              <w:rPr>
                <w:rFonts w:ascii="Arial" w:hAnsi="Arial" w:cs="Arial"/>
                <w:sz w:val="20"/>
                <w:szCs w:val="20"/>
              </w:rPr>
              <w:t xml:space="preserve">-EU </w:t>
            </w:r>
            <w:proofErr w:type="spellStart"/>
            <w:r w:rsidRPr="006A0A1E">
              <w:rPr>
                <w:rFonts w:ascii="Arial" w:hAnsi="Arial" w:cs="Arial"/>
                <w:sz w:val="20"/>
                <w:szCs w:val="20"/>
              </w:rPr>
              <w:t>countries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75%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75</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4. </w:t>
            </w:r>
            <w:proofErr w:type="spellStart"/>
            <w:r w:rsidRPr="006A0A1E">
              <w:rPr>
                <w:rFonts w:ascii="Arial" w:hAnsi="Arial" w:cs="Arial"/>
                <w:sz w:val="20"/>
                <w:szCs w:val="20"/>
              </w:rPr>
              <w:t>China</w:t>
            </w:r>
            <w:proofErr w:type="spellEnd"/>
            <w:r w:rsidRPr="006A0A1E">
              <w:rPr>
                <w:rFonts w:ascii="Arial" w:hAnsi="Arial" w:cs="Arial"/>
                <w:sz w:val="20"/>
                <w:szCs w:val="20"/>
              </w:rPr>
              <w:t xml:space="preserve">, </w:t>
            </w:r>
            <w:proofErr w:type="spellStart"/>
            <w:r w:rsidRPr="006A0A1E">
              <w:rPr>
                <w:rFonts w:ascii="Arial" w:hAnsi="Arial" w:cs="Arial"/>
                <w:sz w:val="20"/>
                <w:szCs w:val="20"/>
              </w:rPr>
              <w:t>Japan</w:t>
            </w:r>
            <w:proofErr w:type="spellEnd"/>
            <w:r w:rsidRPr="006A0A1E">
              <w:rPr>
                <w:rFonts w:ascii="Arial" w:hAnsi="Arial" w:cs="Arial"/>
                <w:sz w:val="20"/>
                <w:szCs w:val="20"/>
              </w:rPr>
              <w:t xml:space="preserve">, </w:t>
            </w:r>
            <w:proofErr w:type="spellStart"/>
            <w:r w:rsidRPr="006A0A1E">
              <w:rPr>
                <w:rFonts w:ascii="Arial" w:hAnsi="Arial" w:cs="Arial"/>
                <w:sz w:val="20"/>
                <w:szCs w:val="20"/>
              </w:rPr>
              <w:t>South</w:t>
            </w:r>
            <w:proofErr w:type="spellEnd"/>
            <w:r w:rsidRPr="006A0A1E">
              <w:rPr>
                <w:rFonts w:ascii="Arial" w:hAnsi="Arial" w:cs="Arial"/>
                <w:sz w:val="20"/>
                <w:szCs w:val="20"/>
              </w:rPr>
              <w:t xml:space="preserve"> </w:t>
            </w:r>
            <w:proofErr w:type="spellStart"/>
            <w:r w:rsidRPr="006A0A1E">
              <w:rPr>
                <w:rFonts w:ascii="Arial" w:hAnsi="Arial" w:cs="Arial"/>
                <w:sz w:val="20"/>
                <w:szCs w:val="20"/>
              </w:rPr>
              <w:t>Korea</w:t>
            </w:r>
            <w:proofErr w:type="spellEnd"/>
            <w:r w:rsidRPr="006A0A1E">
              <w:rPr>
                <w:rFonts w:ascii="Arial" w:hAnsi="Arial" w:cs="Arial"/>
                <w:sz w:val="20"/>
                <w:szCs w:val="20"/>
              </w:rPr>
              <w:t xml:space="preserve">, </w:t>
            </w:r>
            <w:proofErr w:type="spellStart"/>
            <w:r w:rsidRPr="006A0A1E">
              <w:rPr>
                <w:rFonts w:ascii="Arial" w:hAnsi="Arial" w:cs="Arial"/>
                <w:sz w:val="20"/>
                <w:szCs w:val="20"/>
              </w:rPr>
              <w:t>Taiwan</w:t>
            </w:r>
            <w:proofErr w:type="spellEnd"/>
            <w:r w:rsidRPr="006A0A1E">
              <w:rPr>
                <w:rFonts w:ascii="Arial" w:hAnsi="Arial" w:cs="Arial"/>
                <w:sz w:val="20"/>
                <w:szCs w:val="20"/>
              </w:rPr>
              <w:t xml:space="preserve">, </w:t>
            </w:r>
            <w:proofErr w:type="spellStart"/>
            <w:r w:rsidRPr="006A0A1E">
              <w:rPr>
                <w:rFonts w:ascii="Arial" w:hAnsi="Arial" w:cs="Arial"/>
                <w:sz w:val="20"/>
                <w:szCs w:val="20"/>
              </w:rPr>
              <w:t>South</w:t>
            </w:r>
            <w:proofErr w:type="spellEnd"/>
            <w:r w:rsidRPr="006A0A1E">
              <w:rPr>
                <w:rFonts w:ascii="Arial" w:hAnsi="Arial" w:cs="Arial"/>
                <w:sz w:val="20"/>
                <w:szCs w:val="20"/>
              </w:rPr>
              <w:t xml:space="preserve"> </w:t>
            </w:r>
            <w:proofErr w:type="spellStart"/>
            <w:r w:rsidRPr="006A0A1E">
              <w:rPr>
                <w:rFonts w:ascii="Arial" w:hAnsi="Arial" w:cs="Arial"/>
                <w:sz w:val="20"/>
                <w:szCs w:val="20"/>
              </w:rPr>
              <w:t>East</w:t>
            </w:r>
            <w:proofErr w:type="spellEnd"/>
            <w:r w:rsidRPr="006A0A1E">
              <w:rPr>
                <w:rFonts w:ascii="Arial" w:hAnsi="Arial" w:cs="Arial"/>
                <w:sz w:val="20"/>
                <w:szCs w:val="20"/>
              </w:rPr>
              <w:t xml:space="preserve"> </w:t>
            </w:r>
            <w:proofErr w:type="spellStart"/>
            <w:r w:rsidRPr="006A0A1E">
              <w:rPr>
                <w:rFonts w:ascii="Arial" w:hAnsi="Arial" w:cs="Arial"/>
                <w:sz w:val="20"/>
                <w:szCs w:val="20"/>
              </w:rPr>
              <w:t>Asia</w:t>
            </w:r>
            <w:proofErr w:type="spellEnd"/>
            <w:r w:rsidRPr="006A0A1E">
              <w:rPr>
                <w:rFonts w:ascii="Arial" w:hAnsi="Arial" w:cs="Arial"/>
                <w:sz w:val="20"/>
                <w:szCs w:val="20"/>
              </w:rPr>
              <w:t xml:space="preserve">, </w:t>
            </w:r>
            <w:proofErr w:type="spellStart"/>
            <w:r w:rsidRPr="006A0A1E">
              <w:rPr>
                <w:rFonts w:ascii="Arial" w:hAnsi="Arial" w:cs="Arial"/>
                <w:sz w:val="20"/>
                <w:szCs w:val="20"/>
              </w:rPr>
              <w:t>Southern</w:t>
            </w:r>
            <w:proofErr w:type="spellEnd"/>
            <w:r w:rsidRPr="006A0A1E">
              <w:rPr>
                <w:rFonts w:ascii="Arial" w:hAnsi="Arial" w:cs="Arial"/>
                <w:sz w:val="20"/>
                <w:szCs w:val="20"/>
              </w:rPr>
              <w:t xml:space="preserve"> </w:t>
            </w:r>
            <w:proofErr w:type="spellStart"/>
            <w:r w:rsidRPr="006A0A1E">
              <w:rPr>
                <w:rFonts w:ascii="Arial" w:hAnsi="Arial" w:cs="Arial"/>
                <w:sz w:val="20"/>
                <w:szCs w:val="20"/>
              </w:rPr>
              <w:t>Asia</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35%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26.25</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5. </w:t>
            </w:r>
            <w:proofErr w:type="spellStart"/>
            <w:r w:rsidRPr="006A0A1E">
              <w:rPr>
                <w:rFonts w:ascii="Arial" w:hAnsi="Arial" w:cs="Arial"/>
                <w:sz w:val="20"/>
                <w:szCs w:val="20"/>
              </w:rPr>
              <w:t>Canada</w:t>
            </w:r>
            <w:proofErr w:type="spellEnd"/>
            <w:r w:rsidRPr="006A0A1E">
              <w:rPr>
                <w:rFonts w:ascii="Arial" w:hAnsi="Arial" w:cs="Arial"/>
                <w:sz w:val="20"/>
                <w:szCs w:val="20"/>
              </w:rPr>
              <w:t xml:space="preserve">, USA, </w:t>
            </w:r>
            <w:proofErr w:type="spellStart"/>
            <w:r w:rsidRPr="006A0A1E">
              <w:rPr>
                <w:rFonts w:ascii="Arial" w:hAnsi="Arial" w:cs="Arial"/>
                <w:sz w:val="20"/>
                <w:szCs w:val="20"/>
              </w:rPr>
              <w:t>Mexico</w:t>
            </w:r>
            <w:proofErr w:type="spellEnd"/>
            <w:r w:rsidRPr="006A0A1E">
              <w:rPr>
                <w:rFonts w:ascii="Arial" w:hAnsi="Arial" w:cs="Arial"/>
                <w:sz w:val="20"/>
                <w:szCs w:val="20"/>
              </w:rPr>
              <w:t>, Columbia</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30%</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22.5</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TOPIC 6. </w:t>
            </w:r>
            <w:proofErr w:type="spellStart"/>
            <w:r w:rsidRPr="006A0A1E">
              <w:rPr>
                <w:rFonts w:ascii="Arial" w:hAnsi="Arial" w:cs="Arial"/>
                <w:sz w:val="20"/>
                <w:szCs w:val="20"/>
              </w:rPr>
              <w:t>Other</w:t>
            </w:r>
            <w:proofErr w:type="spellEnd"/>
            <w:r w:rsidRPr="006A0A1E">
              <w:rPr>
                <w:rFonts w:ascii="Arial" w:hAnsi="Arial" w:cs="Arial"/>
                <w:sz w:val="20"/>
                <w:szCs w:val="20"/>
              </w:rPr>
              <w:t xml:space="preserve"> </w:t>
            </w:r>
            <w:proofErr w:type="spellStart"/>
            <w:r w:rsidRPr="006A0A1E">
              <w:rPr>
                <w:rFonts w:ascii="Arial" w:hAnsi="Arial" w:cs="Arial"/>
                <w:sz w:val="20"/>
                <w:szCs w:val="20"/>
              </w:rPr>
              <w:t>geographical</w:t>
            </w:r>
            <w:proofErr w:type="spellEnd"/>
            <w:r w:rsidRPr="006A0A1E">
              <w:rPr>
                <w:rFonts w:ascii="Arial" w:hAnsi="Arial" w:cs="Arial"/>
                <w:sz w:val="20"/>
                <w:szCs w:val="20"/>
              </w:rPr>
              <w:t xml:space="preserve"> </w:t>
            </w:r>
            <w:proofErr w:type="spellStart"/>
            <w:r w:rsidRPr="006A0A1E">
              <w:rPr>
                <w:rFonts w:ascii="Arial" w:hAnsi="Arial" w:cs="Arial"/>
                <w:sz w:val="20"/>
                <w:szCs w:val="20"/>
              </w:rPr>
              <w:t>areas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35%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26.25</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Market </w:t>
            </w:r>
            <w:proofErr w:type="spellStart"/>
            <w:r w:rsidRPr="006A0A1E">
              <w:rPr>
                <w:rFonts w:ascii="Arial" w:hAnsi="Arial" w:cs="Arial"/>
                <w:sz w:val="20"/>
                <w:szCs w:val="20"/>
              </w:rPr>
              <w:t>disturbance</w:t>
            </w:r>
            <w:proofErr w:type="spellEnd"/>
            <w:r w:rsidRPr="006A0A1E">
              <w:rPr>
                <w:rFonts w:ascii="Arial" w:hAnsi="Arial" w:cs="Arial"/>
                <w:sz w:val="20"/>
                <w:szCs w:val="20"/>
              </w:rPr>
              <w:t>/</w:t>
            </w:r>
            <w:proofErr w:type="spellStart"/>
            <w:r w:rsidRPr="006A0A1E">
              <w:rPr>
                <w:rFonts w:ascii="Arial" w:hAnsi="Arial" w:cs="Arial"/>
                <w:sz w:val="20"/>
                <w:szCs w:val="20"/>
              </w:rPr>
              <w:t>additional</w:t>
            </w:r>
            <w:proofErr w:type="spellEnd"/>
            <w:r w:rsidRPr="006A0A1E">
              <w:rPr>
                <w:rFonts w:ascii="Arial" w:hAnsi="Arial" w:cs="Arial"/>
                <w:sz w:val="20"/>
                <w:szCs w:val="20"/>
              </w:rPr>
              <w:t xml:space="preserve"> </w:t>
            </w:r>
            <w:proofErr w:type="spellStart"/>
            <w:r w:rsidRPr="006A0A1E">
              <w:rPr>
                <w:rFonts w:ascii="Arial" w:hAnsi="Arial" w:cs="Arial"/>
                <w:sz w:val="20"/>
                <w:szCs w:val="20"/>
              </w:rPr>
              <w:t>call</w:t>
            </w:r>
            <w:proofErr w:type="spellEnd"/>
            <w:r w:rsidRPr="006A0A1E">
              <w:rPr>
                <w:rFonts w:ascii="Arial" w:hAnsi="Arial" w:cs="Arial"/>
                <w:sz w:val="20"/>
                <w:szCs w:val="20"/>
              </w:rPr>
              <w:t xml:space="preserve"> </w:t>
            </w:r>
            <w:proofErr w:type="spellStart"/>
            <w:r w:rsidRPr="006A0A1E">
              <w:rPr>
                <w:rFonts w:ascii="Arial" w:hAnsi="Arial" w:cs="Arial"/>
                <w:sz w:val="20"/>
                <w:szCs w:val="20"/>
              </w:rPr>
              <w:t>for</w:t>
            </w:r>
            <w:proofErr w:type="spellEnd"/>
            <w:r w:rsidRPr="006A0A1E">
              <w:rPr>
                <w:rFonts w:ascii="Arial" w:hAnsi="Arial" w:cs="Arial"/>
                <w:sz w:val="20"/>
                <w:szCs w:val="20"/>
              </w:rPr>
              <w:t xml:space="preserve"> </w:t>
            </w:r>
            <w:proofErr w:type="spellStart"/>
            <w:r w:rsidRPr="006A0A1E">
              <w:rPr>
                <w:rFonts w:ascii="Arial" w:hAnsi="Arial" w:cs="Arial"/>
                <w:sz w:val="20"/>
                <w:szCs w:val="20"/>
              </w:rPr>
              <w:t>proposals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5%</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5</w:t>
            </w:r>
          </w:p>
        </w:tc>
      </w:tr>
      <w:tr w:rsidR="006A0A1E" w:rsidRPr="006A0A1E" w:rsidTr="00456CBF">
        <w:tc>
          <w:tcPr>
            <w:tcW w:w="3070" w:type="dxa"/>
            <w:vAlign w:val="center"/>
          </w:tcPr>
          <w:p w:rsidR="006A0A1E" w:rsidRPr="006A0A1E" w:rsidRDefault="006A0A1E" w:rsidP="006A0A1E">
            <w:pPr>
              <w:rPr>
                <w:rFonts w:ascii="Arial" w:hAnsi="Arial" w:cs="Arial"/>
                <w:sz w:val="20"/>
                <w:szCs w:val="20"/>
              </w:rPr>
            </w:pPr>
            <w:proofErr w:type="spellStart"/>
            <w:r w:rsidRPr="006A0A1E">
              <w:rPr>
                <w:rFonts w:ascii="Arial" w:hAnsi="Arial" w:cs="Arial"/>
                <w:sz w:val="20"/>
                <w:szCs w:val="20"/>
              </w:rPr>
              <w:t>Total</w:t>
            </w:r>
            <w:proofErr w:type="spellEnd"/>
            <w:r w:rsidRPr="006A0A1E">
              <w:rPr>
                <w:rFonts w:ascii="Arial" w:hAnsi="Arial" w:cs="Arial"/>
                <w:sz w:val="20"/>
                <w:szCs w:val="20"/>
              </w:rPr>
              <w:t xml:space="preserve"> </w:t>
            </w:r>
            <w:proofErr w:type="spellStart"/>
            <w:r w:rsidRPr="006A0A1E">
              <w:rPr>
                <w:rFonts w:ascii="Arial" w:hAnsi="Arial" w:cs="Arial"/>
                <w:sz w:val="20"/>
                <w:szCs w:val="20"/>
              </w:rPr>
              <w:t>simple</w:t>
            </w:r>
            <w:proofErr w:type="spellEnd"/>
            <w:r w:rsidRPr="006A0A1E">
              <w:rPr>
                <w:rFonts w:ascii="Arial" w:hAnsi="Arial" w:cs="Arial"/>
                <w:sz w:val="20"/>
                <w:szCs w:val="20"/>
              </w:rPr>
              <w:t xml:space="preserve"> </w:t>
            </w:r>
            <w:proofErr w:type="spellStart"/>
            <w:r w:rsidRPr="006A0A1E">
              <w:rPr>
                <w:rFonts w:ascii="Arial" w:hAnsi="Arial" w:cs="Arial"/>
                <w:sz w:val="20"/>
                <w:szCs w:val="20"/>
              </w:rPr>
              <w:t>programmes</w:t>
            </w:r>
            <w:proofErr w:type="spellEnd"/>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100%</w:t>
            </w:r>
          </w:p>
        </w:tc>
        <w:tc>
          <w:tcPr>
            <w:tcW w:w="3071" w:type="dxa"/>
            <w:vAlign w:val="center"/>
          </w:tcPr>
          <w:p w:rsidR="006A0A1E" w:rsidRPr="006A0A1E" w:rsidRDefault="006A0A1E" w:rsidP="006A0A1E">
            <w:pPr>
              <w:rPr>
                <w:rFonts w:ascii="Arial" w:hAnsi="Arial" w:cs="Arial"/>
                <w:sz w:val="20"/>
                <w:szCs w:val="20"/>
              </w:rPr>
            </w:pPr>
            <w:r w:rsidRPr="006A0A1E">
              <w:rPr>
                <w:rFonts w:ascii="Arial" w:hAnsi="Arial" w:cs="Arial"/>
                <w:sz w:val="20"/>
                <w:szCs w:val="20"/>
              </w:rPr>
              <w:t xml:space="preserve">100 </w:t>
            </w:r>
          </w:p>
        </w:tc>
      </w:tr>
    </w:tbl>
    <w:p w:rsidR="000D5A62" w:rsidRDefault="006A0A1E" w:rsidP="006A0A1E">
      <w:pPr>
        <w:rPr>
          <w:rFonts w:ascii="Arial" w:hAnsi="Arial" w:cs="Arial"/>
          <w:sz w:val="20"/>
          <w:szCs w:val="20"/>
        </w:rPr>
      </w:pPr>
      <w:r w:rsidRPr="006A0A1E">
        <w:rPr>
          <w:rFonts w:ascii="Arial" w:hAnsi="Arial" w:cs="Arial"/>
          <w:sz w:val="20"/>
          <w:szCs w:val="20"/>
        </w:rPr>
        <w:t>Vir: Evropska komisija</w:t>
      </w:r>
    </w:p>
    <w:p w:rsidR="00172AAC" w:rsidRPr="008038DC" w:rsidRDefault="00172AAC" w:rsidP="006A0A1E">
      <w:pPr>
        <w:rPr>
          <w:rFonts w:ascii="Arial" w:hAnsi="Arial" w:cs="Arial"/>
          <w:b/>
          <w:sz w:val="20"/>
          <w:szCs w:val="20"/>
        </w:rPr>
      </w:pPr>
      <w:r w:rsidRPr="008038DC">
        <w:rPr>
          <w:rFonts w:ascii="Arial" w:hAnsi="Arial" w:cs="Arial"/>
          <w:b/>
          <w:sz w:val="20"/>
          <w:szCs w:val="20"/>
        </w:rPr>
        <w:lastRenderedPageBreak/>
        <w:t xml:space="preserve">Tabela 2: Razrez sredstev za </w:t>
      </w:r>
      <w:proofErr w:type="spellStart"/>
      <w:r w:rsidRPr="008038DC">
        <w:rPr>
          <w:rFonts w:ascii="Arial" w:hAnsi="Arial" w:cs="Arial"/>
          <w:b/>
          <w:sz w:val="20"/>
          <w:szCs w:val="20"/>
        </w:rPr>
        <w:t>multiprograme</w:t>
      </w:r>
      <w:proofErr w:type="spellEnd"/>
    </w:p>
    <w:tbl>
      <w:tblPr>
        <w:tblStyle w:val="Tabela-mrea"/>
        <w:tblW w:w="0" w:type="auto"/>
        <w:tblLook w:val="04A0"/>
      </w:tblPr>
      <w:tblGrid>
        <w:gridCol w:w="3070"/>
        <w:gridCol w:w="3071"/>
        <w:gridCol w:w="3071"/>
      </w:tblGrid>
      <w:tr w:rsidR="00172AAC" w:rsidRPr="006A0A1E" w:rsidTr="001D6BC5">
        <w:tc>
          <w:tcPr>
            <w:tcW w:w="3070" w:type="dxa"/>
            <w:vAlign w:val="center"/>
          </w:tcPr>
          <w:p w:rsidR="00172AAC" w:rsidRPr="006A0A1E" w:rsidRDefault="00172AAC" w:rsidP="001D6BC5">
            <w:pPr>
              <w:rPr>
                <w:rFonts w:ascii="Arial" w:hAnsi="Arial" w:cs="Arial"/>
                <w:b/>
                <w:sz w:val="20"/>
                <w:szCs w:val="20"/>
              </w:rPr>
            </w:pPr>
            <w:r w:rsidRPr="006A0A1E">
              <w:rPr>
                <w:rFonts w:ascii="Arial" w:hAnsi="Arial" w:cs="Arial"/>
                <w:b/>
                <w:sz w:val="20"/>
                <w:szCs w:val="20"/>
              </w:rPr>
              <w:t>MULTI PROGRAMMES</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€m</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 xml:space="preserve">TOPIC A.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on </w:t>
            </w:r>
            <w:proofErr w:type="spellStart"/>
            <w:r w:rsidRPr="006A0A1E">
              <w:rPr>
                <w:rFonts w:ascii="Arial" w:hAnsi="Arial" w:cs="Arial"/>
                <w:sz w:val="20"/>
                <w:szCs w:val="20"/>
              </w:rPr>
              <w:t>sustainable</w:t>
            </w:r>
            <w:proofErr w:type="spellEnd"/>
            <w:r w:rsidRPr="006A0A1E">
              <w:rPr>
                <w:rFonts w:ascii="Arial" w:hAnsi="Arial" w:cs="Arial"/>
                <w:sz w:val="20"/>
                <w:szCs w:val="20"/>
              </w:rPr>
              <w:t xml:space="preserve"> </w:t>
            </w:r>
            <w:proofErr w:type="spellStart"/>
            <w:r w:rsidRPr="006A0A1E">
              <w:rPr>
                <w:rFonts w:ascii="Arial" w:hAnsi="Arial" w:cs="Arial"/>
                <w:sz w:val="20"/>
                <w:szCs w:val="20"/>
              </w:rPr>
              <w:t>sheep</w:t>
            </w:r>
            <w:proofErr w:type="spellEnd"/>
            <w:r w:rsidRPr="006A0A1E">
              <w:rPr>
                <w:rFonts w:ascii="Arial" w:hAnsi="Arial" w:cs="Arial"/>
                <w:sz w:val="20"/>
                <w:szCs w:val="20"/>
              </w:rPr>
              <w:t>/</w:t>
            </w:r>
            <w:proofErr w:type="spellStart"/>
            <w:r w:rsidRPr="006A0A1E">
              <w:rPr>
                <w:rFonts w:ascii="Arial" w:hAnsi="Arial" w:cs="Arial"/>
                <w:sz w:val="20"/>
                <w:szCs w:val="20"/>
              </w:rPr>
              <w:t>goat</w:t>
            </w:r>
            <w:proofErr w:type="spellEnd"/>
            <w:r w:rsidRPr="006A0A1E">
              <w:rPr>
                <w:rFonts w:ascii="Arial" w:hAnsi="Arial" w:cs="Arial"/>
                <w:sz w:val="20"/>
                <w:szCs w:val="20"/>
              </w:rPr>
              <w:t xml:space="preserve"> </w:t>
            </w:r>
            <w:proofErr w:type="spellStart"/>
            <w:r w:rsidRPr="006A0A1E">
              <w:rPr>
                <w:rFonts w:ascii="Arial" w:hAnsi="Arial" w:cs="Arial"/>
                <w:sz w:val="20"/>
                <w:szCs w:val="20"/>
              </w:rPr>
              <w:t>meat</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internal</w:t>
            </w:r>
            <w:proofErr w:type="spellEnd"/>
            <w:r w:rsidRPr="006A0A1E">
              <w:rPr>
                <w:rFonts w:ascii="Arial" w:hAnsi="Arial" w:cs="Arial"/>
                <w:sz w:val="20"/>
                <w:szCs w:val="20"/>
              </w:rPr>
              <w:t xml:space="preserve"> market </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5%</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4</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 xml:space="preserve">TOPIC B.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to </w:t>
            </w:r>
            <w:proofErr w:type="spellStart"/>
            <w:r w:rsidRPr="006A0A1E">
              <w:rPr>
                <w:rFonts w:ascii="Arial" w:hAnsi="Arial" w:cs="Arial"/>
                <w:sz w:val="20"/>
                <w:szCs w:val="20"/>
              </w:rPr>
              <w:t>increase</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consumption</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w:t>
            </w:r>
            <w:proofErr w:type="spellStart"/>
            <w:r w:rsidRPr="006A0A1E">
              <w:rPr>
                <w:rFonts w:ascii="Arial" w:hAnsi="Arial" w:cs="Arial"/>
                <w:sz w:val="20"/>
                <w:szCs w:val="20"/>
              </w:rPr>
              <w:t>fruits</w:t>
            </w:r>
            <w:proofErr w:type="spellEnd"/>
            <w:r w:rsidRPr="006A0A1E">
              <w:rPr>
                <w:rFonts w:ascii="Arial" w:hAnsi="Arial" w:cs="Arial"/>
                <w:sz w:val="20"/>
                <w:szCs w:val="20"/>
              </w:rPr>
              <w:t xml:space="preserve"> </w:t>
            </w:r>
            <w:proofErr w:type="spellStart"/>
            <w:r w:rsidRPr="006A0A1E">
              <w:rPr>
                <w:rFonts w:ascii="Arial" w:hAnsi="Arial" w:cs="Arial"/>
                <w:sz w:val="20"/>
                <w:szCs w:val="20"/>
              </w:rPr>
              <w:t>and</w:t>
            </w:r>
            <w:proofErr w:type="spellEnd"/>
            <w:r w:rsidRPr="006A0A1E">
              <w:rPr>
                <w:rFonts w:ascii="Arial" w:hAnsi="Arial" w:cs="Arial"/>
                <w:sz w:val="20"/>
                <w:szCs w:val="20"/>
              </w:rPr>
              <w:t xml:space="preserve"> </w:t>
            </w:r>
            <w:proofErr w:type="spellStart"/>
            <w:r w:rsidRPr="006A0A1E">
              <w:rPr>
                <w:rFonts w:ascii="Arial" w:hAnsi="Arial" w:cs="Arial"/>
                <w:sz w:val="20"/>
                <w:szCs w:val="20"/>
              </w:rPr>
              <w:t>vegetables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internal</w:t>
            </w:r>
            <w:proofErr w:type="spellEnd"/>
            <w:r w:rsidRPr="006A0A1E">
              <w:rPr>
                <w:rFonts w:ascii="Arial" w:hAnsi="Arial" w:cs="Arial"/>
                <w:sz w:val="20"/>
                <w:szCs w:val="20"/>
              </w:rPr>
              <w:t xml:space="preserve"> market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frame</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w:t>
            </w:r>
            <w:proofErr w:type="spellStart"/>
            <w:r w:rsidRPr="006A0A1E">
              <w:rPr>
                <w:rFonts w:ascii="Arial" w:hAnsi="Arial" w:cs="Arial"/>
                <w:sz w:val="20"/>
                <w:szCs w:val="20"/>
              </w:rPr>
              <w:t>proper</w:t>
            </w:r>
            <w:proofErr w:type="spellEnd"/>
            <w:r w:rsidRPr="006A0A1E">
              <w:rPr>
                <w:rFonts w:ascii="Arial" w:hAnsi="Arial" w:cs="Arial"/>
                <w:sz w:val="20"/>
                <w:szCs w:val="20"/>
              </w:rPr>
              <w:t xml:space="preserve"> </w:t>
            </w:r>
            <w:proofErr w:type="spellStart"/>
            <w:r w:rsidRPr="006A0A1E">
              <w:rPr>
                <w:rFonts w:ascii="Arial" w:hAnsi="Arial" w:cs="Arial"/>
                <w:sz w:val="20"/>
                <w:szCs w:val="20"/>
              </w:rPr>
              <w:t>dietary</w:t>
            </w:r>
            <w:proofErr w:type="spellEnd"/>
            <w:r w:rsidRPr="006A0A1E">
              <w:rPr>
                <w:rFonts w:ascii="Arial" w:hAnsi="Arial" w:cs="Arial"/>
                <w:sz w:val="20"/>
                <w:szCs w:val="20"/>
              </w:rPr>
              <w:t xml:space="preserve"> </w:t>
            </w:r>
            <w:proofErr w:type="spellStart"/>
            <w:r w:rsidRPr="006A0A1E">
              <w:rPr>
                <w:rFonts w:ascii="Arial" w:hAnsi="Arial" w:cs="Arial"/>
                <w:sz w:val="20"/>
                <w:szCs w:val="20"/>
              </w:rPr>
              <w:t>practices</w:t>
            </w:r>
            <w:proofErr w:type="spellEnd"/>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10%</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8</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 xml:space="preserve">TOPIC C.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w:t>
            </w:r>
            <w:proofErr w:type="spellStart"/>
            <w:r w:rsidRPr="006A0A1E">
              <w:rPr>
                <w:rFonts w:ascii="Arial" w:hAnsi="Arial" w:cs="Arial"/>
                <w:sz w:val="20"/>
                <w:szCs w:val="20"/>
              </w:rPr>
              <w:t>highlighting</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specific</w:t>
            </w:r>
            <w:proofErr w:type="spellEnd"/>
            <w:r w:rsidRPr="006A0A1E">
              <w:rPr>
                <w:rFonts w:ascii="Arial" w:hAnsi="Arial" w:cs="Arial"/>
                <w:sz w:val="20"/>
                <w:szCs w:val="20"/>
              </w:rPr>
              <w:t xml:space="preserve"> </w:t>
            </w:r>
            <w:proofErr w:type="spellStart"/>
            <w:r w:rsidRPr="006A0A1E">
              <w:rPr>
                <w:rFonts w:ascii="Arial" w:hAnsi="Arial" w:cs="Arial"/>
                <w:sz w:val="20"/>
                <w:szCs w:val="20"/>
              </w:rPr>
              <w:t>features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w:t>
            </w:r>
            <w:proofErr w:type="spellStart"/>
            <w:r w:rsidRPr="006A0A1E">
              <w:rPr>
                <w:rFonts w:ascii="Arial" w:hAnsi="Arial" w:cs="Arial"/>
                <w:sz w:val="20"/>
                <w:szCs w:val="20"/>
              </w:rPr>
              <w:t>agricultural</w:t>
            </w:r>
            <w:proofErr w:type="spellEnd"/>
            <w:r w:rsidRPr="006A0A1E">
              <w:rPr>
                <w:rFonts w:ascii="Arial" w:hAnsi="Arial" w:cs="Arial"/>
                <w:sz w:val="20"/>
                <w:szCs w:val="20"/>
              </w:rPr>
              <w:t xml:space="preserve"> </w:t>
            </w:r>
            <w:proofErr w:type="spellStart"/>
            <w:r w:rsidRPr="006A0A1E">
              <w:rPr>
                <w:rFonts w:ascii="Arial" w:hAnsi="Arial" w:cs="Arial"/>
                <w:sz w:val="20"/>
                <w:szCs w:val="20"/>
              </w:rPr>
              <w:t>methods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EU </w:t>
            </w:r>
            <w:proofErr w:type="spellStart"/>
            <w:r w:rsidRPr="006A0A1E">
              <w:rPr>
                <w:rFonts w:ascii="Arial" w:hAnsi="Arial" w:cs="Arial"/>
                <w:sz w:val="20"/>
                <w:szCs w:val="20"/>
              </w:rPr>
              <w:t>and</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characteristics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EU </w:t>
            </w:r>
            <w:proofErr w:type="spellStart"/>
            <w:r w:rsidRPr="006A0A1E">
              <w:rPr>
                <w:rFonts w:ascii="Arial" w:hAnsi="Arial" w:cs="Arial"/>
                <w:sz w:val="20"/>
                <w:szCs w:val="20"/>
              </w:rPr>
              <w:t>agri</w:t>
            </w:r>
            <w:proofErr w:type="spellEnd"/>
            <w:r w:rsidRPr="006A0A1E">
              <w:rPr>
                <w:rFonts w:ascii="Arial" w:hAnsi="Arial" w:cs="Arial"/>
                <w:sz w:val="20"/>
                <w:szCs w:val="20"/>
              </w:rPr>
              <w:t>-</w:t>
            </w:r>
            <w:proofErr w:type="spellStart"/>
            <w:r w:rsidRPr="006A0A1E">
              <w:rPr>
                <w:rFonts w:ascii="Arial" w:hAnsi="Arial" w:cs="Arial"/>
                <w:sz w:val="20"/>
                <w:szCs w:val="20"/>
              </w:rPr>
              <w:t>food</w:t>
            </w:r>
            <w:proofErr w:type="spellEnd"/>
            <w:r w:rsidRPr="006A0A1E">
              <w:rPr>
                <w:rFonts w:ascii="Arial" w:hAnsi="Arial" w:cs="Arial"/>
                <w:sz w:val="20"/>
                <w:szCs w:val="20"/>
              </w:rPr>
              <w:t xml:space="preserve"> </w:t>
            </w:r>
            <w:proofErr w:type="spellStart"/>
            <w:r w:rsidRPr="006A0A1E">
              <w:rPr>
                <w:rFonts w:ascii="Arial" w:hAnsi="Arial" w:cs="Arial"/>
                <w:sz w:val="20"/>
                <w:szCs w:val="20"/>
              </w:rPr>
              <w:t>products</w:t>
            </w:r>
            <w:proofErr w:type="spellEnd"/>
            <w:r w:rsidRPr="006A0A1E">
              <w:rPr>
                <w:rFonts w:ascii="Arial" w:hAnsi="Arial" w:cs="Arial"/>
                <w:sz w:val="20"/>
                <w:szCs w:val="20"/>
              </w:rPr>
              <w:t xml:space="preserve"> or on EU </w:t>
            </w:r>
            <w:proofErr w:type="spellStart"/>
            <w:r w:rsidRPr="006A0A1E">
              <w:rPr>
                <w:rFonts w:ascii="Arial" w:hAnsi="Arial" w:cs="Arial"/>
                <w:sz w:val="20"/>
                <w:szCs w:val="20"/>
              </w:rPr>
              <w:t>quality</w:t>
            </w:r>
            <w:proofErr w:type="spellEnd"/>
            <w:r w:rsidRPr="006A0A1E">
              <w:rPr>
                <w:rFonts w:ascii="Arial" w:hAnsi="Arial" w:cs="Arial"/>
                <w:sz w:val="20"/>
                <w:szCs w:val="20"/>
              </w:rPr>
              <w:t xml:space="preserve"> </w:t>
            </w:r>
            <w:proofErr w:type="spellStart"/>
            <w:r w:rsidRPr="006A0A1E">
              <w:rPr>
                <w:rFonts w:ascii="Arial" w:hAnsi="Arial" w:cs="Arial"/>
                <w:sz w:val="20"/>
                <w:szCs w:val="20"/>
              </w:rPr>
              <w:t>schemes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internal</w:t>
            </w:r>
            <w:proofErr w:type="spellEnd"/>
            <w:r w:rsidRPr="006A0A1E">
              <w:rPr>
                <w:rFonts w:ascii="Arial" w:hAnsi="Arial" w:cs="Arial"/>
                <w:sz w:val="20"/>
                <w:szCs w:val="20"/>
              </w:rPr>
              <w:t xml:space="preserve"> market </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38%</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30</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 xml:space="preserve">TOPIC D. </w:t>
            </w:r>
            <w:proofErr w:type="spellStart"/>
            <w:r w:rsidRPr="006A0A1E">
              <w:rPr>
                <w:rFonts w:ascii="Arial" w:hAnsi="Arial" w:cs="Arial"/>
                <w:sz w:val="20"/>
                <w:szCs w:val="20"/>
              </w:rPr>
              <w:t>Programmes</w:t>
            </w:r>
            <w:proofErr w:type="spellEnd"/>
            <w:r w:rsidRPr="006A0A1E">
              <w:rPr>
                <w:rFonts w:ascii="Arial" w:hAnsi="Arial" w:cs="Arial"/>
                <w:sz w:val="20"/>
                <w:szCs w:val="20"/>
              </w:rPr>
              <w:t xml:space="preserve"> </w:t>
            </w:r>
            <w:proofErr w:type="spellStart"/>
            <w:r w:rsidRPr="006A0A1E">
              <w:rPr>
                <w:rFonts w:ascii="Arial" w:hAnsi="Arial" w:cs="Arial"/>
                <w:sz w:val="20"/>
                <w:szCs w:val="20"/>
              </w:rPr>
              <w:t>highlighting</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specific</w:t>
            </w:r>
            <w:proofErr w:type="spellEnd"/>
            <w:r w:rsidRPr="006A0A1E">
              <w:rPr>
                <w:rFonts w:ascii="Arial" w:hAnsi="Arial" w:cs="Arial"/>
                <w:sz w:val="20"/>
                <w:szCs w:val="20"/>
              </w:rPr>
              <w:t> </w:t>
            </w:r>
            <w:proofErr w:type="spellStart"/>
            <w:r w:rsidRPr="006A0A1E">
              <w:rPr>
                <w:rFonts w:ascii="Arial" w:hAnsi="Arial" w:cs="Arial"/>
                <w:sz w:val="20"/>
                <w:szCs w:val="20"/>
              </w:rPr>
              <w:t>features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w:t>
            </w:r>
            <w:proofErr w:type="spellStart"/>
            <w:r w:rsidRPr="006A0A1E">
              <w:rPr>
                <w:rFonts w:ascii="Arial" w:hAnsi="Arial" w:cs="Arial"/>
                <w:sz w:val="20"/>
                <w:szCs w:val="20"/>
              </w:rPr>
              <w:t>agricultural</w:t>
            </w:r>
            <w:proofErr w:type="spellEnd"/>
            <w:r w:rsidRPr="006A0A1E">
              <w:rPr>
                <w:rFonts w:ascii="Arial" w:hAnsi="Arial" w:cs="Arial"/>
                <w:sz w:val="20"/>
                <w:szCs w:val="20"/>
              </w:rPr>
              <w:t xml:space="preserve"> </w:t>
            </w:r>
            <w:proofErr w:type="spellStart"/>
            <w:r w:rsidRPr="006A0A1E">
              <w:rPr>
                <w:rFonts w:ascii="Arial" w:hAnsi="Arial" w:cs="Arial"/>
                <w:sz w:val="20"/>
                <w:szCs w:val="20"/>
              </w:rPr>
              <w:t>methods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the</w:t>
            </w:r>
            <w:proofErr w:type="spellEnd"/>
            <w:r w:rsidRPr="006A0A1E">
              <w:rPr>
                <w:rFonts w:ascii="Arial" w:hAnsi="Arial" w:cs="Arial"/>
                <w:sz w:val="20"/>
                <w:szCs w:val="20"/>
              </w:rPr>
              <w:t xml:space="preserve"> EU </w:t>
            </w:r>
            <w:proofErr w:type="spellStart"/>
            <w:r w:rsidRPr="006A0A1E">
              <w:rPr>
                <w:rFonts w:ascii="Arial" w:hAnsi="Arial" w:cs="Arial"/>
                <w:sz w:val="20"/>
                <w:szCs w:val="20"/>
              </w:rPr>
              <w:t>and</w:t>
            </w:r>
            <w:proofErr w:type="spellEnd"/>
            <w:r w:rsidRPr="006A0A1E">
              <w:rPr>
                <w:rFonts w:ascii="Arial" w:hAnsi="Arial" w:cs="Arial"/>
                <w:sz w:val="20"/>
                <w:szCs w:val="20"/>
              </w:rPr>
              <w:t xml:space="preserve"> </w:t>
            </w:r>
            <w:proofErr w:type="spellStart"/>
            <w:r w:rsidRPr="006A0A1E">
              <w:rPr>
                <w:rFonts w:ascii="Arial" w:hAnsi="Arial" w:cs="Arial"/>
                <w:sz w:val="20"/>
                <w:szCs w:val="20"/>
              </w:rPr>
              <w:t>the</w:t>
            </w:r>
            <w:proofErr w:type="spellEnd"/>
            <w:r w:rsidRPr="006A0A1E">
              <w:rPr>
                <w:rFonts w:ascii="Arial" w:hAnsi="Arial" w:cs="Arial"/>
                <w:sz w:val="20"/>
                <w:szCs w:val="20"/>
              </w:rPr>
              <w:t xml:space="preserve"> </w:t>
            </w:r>
            <w:proofErr w:type="spellStart"/>
            <w:r w:rsidRPr="006A0A1E">
              <w:rPr>
                <w:rFonts w:ascii="Arial" w:hAnsi="Arial" w:cs="Arial"/>
                <w:sz w:val="20"/>
                <w:szCs w:val="20"/>
              </w:rPr>
              <w:t>characteristics</w:t>
            </w:r>
            <w:proofErr w:type="spellEnd"/>
            <w:r w:rsidRPr="006A0A1E">
              <w:rPr>
                <w:rFonts w:ascii="Arial" w:hAnsi="Arial" w:cs="Arial"/>
                <w:sz w:val="20"/>
                <w:szCs w:val="20"/>
              </w:rPr>
              <w:t xml:space="preserve"> </w:t>
            </w:r>
            <w:proofErr w:type="spellStart"/>
            <w:r w:rsidRPr="006A0A1E">
              <w:rPr>
                <w:rFonts w:ascii="Arial" w:hAnsi="Arial" w:cs="Arial"/>
                <w:sz w:val="20"/>
                <w:szCs w:val="20"/>
              </w:rPr>
              <w:t>of</w:t>
            </w:r>
            <w:proofErr w:type="spellEnd"/>
            <w:r w:rsidRPr="006A0A1E">
              <w:rPr>
                <w:rFonts w:ascii="Arial" w:hAnsi="Arial" w:cs="Arial"/>
                <w:sz w:val="20"/>
                <w:szCs w:val="20"/>
              </w:rPr>
              <w:t xml:space="preserve"> EU </w:t>
            </w:r>
            <w:proofErr w:type="spellStart"/>
            <w:r w:rsidRPr="006A0A1E">
              <w:rPr>
                <w:rFonts w:ascii="Arial" w:hAnsi="Arial" w:cs="Arial"/>
                <w:sz w:val="20"/>
                <w:szCs w:val="20"/>
              </w:rPr>
              <w:t>agri</w:t>
            </w:r>
            <w:proofErr w:type="spellEnd"/>
            <w:r w:rsidRPr="006A0A1E">
              <w:rPr>
                <w:rFonts w:ascii="Arial" w:hAnsi="Arial" w:cs="Arial"/>
                <w:sz w:val="20"/>
                <w:szCs w:val="20"/>
              </w:rPr>
              <w:t>-</w:t>
            </w:r>
            <w:proofErr w:type="spellStart"/>
            <w:r w:rsidRPr="006A0A1E">
              <w:rPr>
                <w:rFonts w:ascii="Arial" w:hAnsi="Arial" w:cs="Arial"/>
                <w:sz w:val="20"/>
                <w:szCs w:val="20"/>
              </w:rPr>
              <w:t>food</w:t>
            </w:r>
            <w:proofErr w:type="spellEnd"/>
            <w:r w:rsidRPr="006A0A1E">
              <w:rPr>
                <w:rFonts w:ascii="Arial" w:hAnsi="Arial" w:cs="Arial"/>
                <w:sz w:val="20"/>
                <w:szCs w:val="20"/>
              </w:rPr>
              <w:t xml:space="preserve"> </w:t>
            </w:r>
            <w:proofErr w:type="spellStart"/>
            <w:r w:rsidRPr="006A0A1E">
              <w:rPr>
                <w:rFonts w:ascii="Arial" w:hAnsi="Arial" w:cs="Arial"/>
                <w:sz w:val="20"/>
                <w:szCs w:val="20"/>
              </w:rPr>
              <w:t>products</w:t>
            </w:r>
            <w:proofErr w:type="spellEnd"/>
            <w:r w:rsidRPr="006A0A1E">
              <w:rPr>
                <w:rFonts w:ascii="Arial" w:hAnsi="Arial" w:cs="Arial"/>
                <w:sz w:val="20"/>
                <w:szCs w:val="20"/>
              </w:rPr>
              <w:t xml:space="preserve"> or on EU </w:t>
            </w:r>
            <w:proofErr w:type="spellStart"/>
            <w:r w:rsidRPr="006A0A1E">
              <w:rPr>
                <w:rFonts w:ascii="Arial" w:hAnsi="Arial" w:cs="Arial"/>
                <w:sz w:val="20"/>
                <w:szCs w:val="20"/>
              </w:rPr>
              <w:t>quality</w:t>
            </w:r>
            <w:proofErr w:type="spellEnd"/>
            <w:r w:rsidRPr="006A0A1E">
              <w:rPr>
                <w:rFonts w:ascii="Arial" w:hAnsi="Arial" w:cs="Arial"/>
                <w:sz w:val="20"/>
                <w:szCs w:val="20"/>
              </w:rPr>
              <w:t xml:space="preserve"> </w:t>
            </w:r>
            <w:proofErr w:type="spellStart"/>
            <w:r w:rsidRPr="006A0A1E">
              <w:rPr>
                <w:rFonts w:ascii="Arial" w:hAnsi="Arial" w:cs="Arial"/>
                <w:sz w:val="20"/>
                <w:szCs w:val="20"/>
              </w:rPr>
              <w:t>schemes</w:t>
            </w:r>
            <w:proofErr w:type="spellEnd"/>
            <w:r w:rsidRPr="006A0A1E">
              <w:rPr>
                <w:rFonts w:ascii="Arial" w:hAnsi="Arial" w:cs="Arial"/>
                <w:sz w:val="20"/>
                <w:szCs w:val="20"/>
              </w:rPr>
              <w:t xml:space="preserve">  in </w:t>
            </w:r>
            <w:proofErr w:type="spellStart"/>
            <w:r w:rsidRPr="006A0A1E">
              <w:rPr>
                <w:rFonts w:ascii="Arial" w:hAnsi="Arial" w:cs="Arial"/>
                <w:sz w:val="20"/>
                <w:szCs w:val="20"/>
              </w:rPr>
              <w:t>third</w:t>
            </w:r>
            <w:proofErr w:type="spellEnd"/>
            <w:r w:rsidRPr="006A0A1E">
              <w:rPr>
                <w:rFonts w:ascii="Arial" w:hAnsi="Arial" w:cs="Arial"/>
                <w:sz w:val="20"/>
                <w:szCs w:val="20"/>
              </w:rPr>
              <w:t xml:space="preserve"> </w:t>
            </w:r>
            <w:proofErr w:type="spellStart"/>
            <w:r w:rsidRPr="006A0A1E">
              <w:rPr>
                <w:rFonts w:ascii="Arial" w:hAnsi="Arial" w:cs="Arial"/>
                <w:sz w:val="20"/>
                <w:szCs w:val="20"/>
              </w:rPr>
              <w:t>countries</w:t>
            </w:r>
            <w:proofErr w:type="spellEnd"/>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41%</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32.1</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 xml:space="preserve">Market </w:t>
            </w:r>
            <w:proofErr w:type="spellStart"/>
            <w:r w:rsidRPr="006A0A1E">
              <w:rPr>
                <w:rFonts w:ascii="Arial" w:hAnsi="Arial" w:cs="Arial"/>
                <w:sz w:val="20"/>
                <w:szCs w:val="20"/>
              </w:rPr>
              <w:t>disturbance</w:t>
            </w:r>
            <w:proofErr w:type="spellEnd"/>
            <w:r w:rsidRPr="006A0A1E">
              <w:rPr>
                <w:rFonts w:ascii="Arial" w:hAnsi="Arial" w:cs="Arial"/>
                <w:sz w:val="20"/>
                <w:szCs w:val="20"/>
              </w:rPr>
              <w:t>/</w:t>
            </w:r>
            <w:proofErr w:type="spellStart"/>
            <w:r w:rsidRPr="006A0A1E">
              <w:rPr>
                <w:rFonts w:ascii="Arial" w:hAnsi="Arial" w:cs="Arial"/>
                <w:sz w:val="20"/>
                <w:szCs w:val="20"/>
              </w:rPr>
              <w:t>additional</w:t>
            </w:r>
            <w:proofErr w:type="spellEnd"/>
            <w:r w:rsidRPr="006A0A1E">
              <w:rPr>
                <w:rFonts w:ascii="Arial" w:hAnsi="Arial" w:cs="Arial"/>
                <w:sz w:val="20"/>
                <w:szCs w:val="20"/>
              </w:rPr>
              <w:t xml:space="preserve"> </w:t>
            </w:r>
            <w:proofErr w:type="spellStart"/>
            <w:r w:rsidRPr="006A0A1E">
              <w:rPr>
                <w:rFonts w:ascii="Arial" w:hAnsi="Arial" w:cs="Arial"/>
                <w:sz w:val="20"/>
                <w:szCs w:val="20"/>
              </w:rPr>
              <w:t>call</w:t>
            </w:r>
            <w:proofErr w:type="spellEnd"/>
            <w:r w:rsidRPr="006A0A1E">
              <w:rPr>
                <w:rFonts w:ascii="Arial" w:hAnsi="Arial" w:cs="Arial"/>
                <w:sz w:val="20"/>
                <w:szCs w:val="20"/>
              </w:rPr>
              <w:t xml:space="preserve"> </w:t>
            </w:r>
            <w:proofErr w:type="spellStart"/>
            <w:r w:rsidRPr="006A0A1E">
              <w:rPr>
                <w:rFonts w:ascii="Arial" w:hAnsi="Arial" w:cs="Arial"/>
                <w:sz w:val="20"/>
                <w:szCs w:val="20"/>
              </w:rPr>
              <w:t>for</w:t>
            </w:r>
            <w:proofErr w:type="spellEnd"/>
            <w:r w:rsidRPr="006A0A1E">
              <w:rPr>
                <w:rFonts w:ascii="Arial" w:hAnsi="Arial" w:cs="Arial"/>
                <w:sz w:val="20"/>
                <w:szCs w:val="20"/>
              </w:rPr>
              <w:t xml:space="preserve"> </w:t>
            </w:r>
            <w:proofErr w:type="spellStart"/>
            <w:r w:rsidRPr="006A0A1E">
              <w:rPr>
                <w:rFonts w:ascii="Arial" w:hAnsi="Arial" w:cs="Arial"/>
                <w:sz w:val="20"/>
                <w:szCs w:val="20"/>
              </w:rPr>
              <w:t>proposals</w:t>
            </w:r>
            <w:proofErr w:type="spellEnd"/>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6%</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5</w:t>
            </w:r>
          </w:p>
        </w:tc>
      </w:tr>
      <w:tr w:rsidR="00172AAC" w:rsidRPr="006A0A1E" w:rsidTr="001D6BC5">
        <w:tc>
          <w:tcPr>
            <w:tcW w:w="3070" w:type="dxa"/>
            <w:vAlign w:val="center"/>
          </w:tcPr>
          <w:p w:rsidR="00172AAC" w:rsidRPr="006A0A1E" w:rsidRDefault="00172AAC" w:rsidP="001D6BC5">
            <w:pPr>
              <w:rPr>
                <w:rFonts w:ascii="Arial" w:hAnsi="Arial" w:cs="Arial"/>
                <w:sz w:val="20"/>
                <w:szCs w:val="20"/>
              </w:rPr>
            </w:pPr>
            <w:proofErr w:type="spellStart"/>
            <w:r w:rsidRPr="006A0A1E">
              <w:rPr>
                <w:rFonts w:ascii="Arial" w:hAnsi="Arial" w:cs="Arial"/>
                <w:sz w:val="20"/>
                <w:szCs w:val="20"/>
              </w:rPr>
              <w:t>Total</w:t>
            </w:r>
            <w:proofErr w:type="spellEnd"/>
            <w:r w:rsidRPr="006A0A1E">
              <w:rPr>
                <w:rFonts w:ascii="Arial" w:hAnsi="Arial" w:cs="Arial"/>
                <w:sz w:val="20"/>
                <w:szCs w:val="20"/>
              </w:rPr>
              <w:t xml:space="preserve"> </w:t>
            </w:r>
            <w:proofErr w:type="spellStart"/>
            <w:r w:rsidRPr="006A0A1E">
              <w:rPr>
                <w:rFonts w:ascii="Arial" w:hAnsi="Arial" w:cs="Arial"/>
                <w:sz w:val="20"/>
                <w:szCs w:val="20"/>
              </w:rPr>
              <w:t>multi</w:t>
            </w:r>
            <w:proofErr w:type="spellEnd"/>
            <w:r w:rsidRPr="006A0A1E">
              <w:rPr>
                <w:rFonts w:ascii="Arial" w:hAnsi="Arial" w:cs="Arial"/>
                <w:sz w:val="20"/>
                <w:szCs w:val="20"/>
              </w:rPr>
              <w:t xml:space="preserve"> </w:t>
            </w:r>
            <w:proofErr w:type="spellStart"/>
            <w:r w:rsidRPr="006A0A1E">
              <w:rPr>
                <w:rFonts w:ascii="Arial" w:hAnsi="Arial" w:cs="Arial"/>
                <w:sz w:val="20"/>
                <w:szCs w:val="20"/>
              </w:rPr>
              <w:t>programmes</w:t>
            </w:r>
            <w:proofErr w:type="spellEnd"/>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100</w:t>
            </w:r>
          </w:p>
        </w:tc>
        <w:tc>
          <w:tcPr>
            <w:tcW w:w="3071" w:type="dxa"/>
            <w:vAlign w:val="center"/>
          </w:tcPr>
          <w:p w:rsidR="00172AAC" w:rsidRPr="006A0A1E" w:rsidRDefault="00172AAC" w:rsidP="001D6BC5">
            <w:pPr>
              <w:rPr>
                <w:rFonts w:ascii="Arial" w:hAnsi="Arial" w:cs="Arial"/>
                <w:sz w:val="20"/>
                <w:szCs w:val="20"/>
              </w:rPr>
            </w:pPr>
            <w:r w:rsidRPr="006A0A1E">
              <w:rPr>
                <w:rFonts w:ascii="Arial" w:hAnsi="Arial" w:cs="Arial"/>
                <w:sz w:val="20"/>
                <w:szCs w:val="20"/>
              </w:rPr>
              <w:t>79</w:t>
            </w:r>
          </w:p>
        </w:tc>
      </w:tr>
    </w:tbl>
    <w:p w:rsidR="00172AAC" w:rsidRPr="006A0A1E" w:rsidRDefault="00172AAC" w:rsidP="006A0A1E">
      <w:pPr>
        <w:rPr>
          <w:rFonts w:ascii="Arial" w:hAnsi="Arial" w:cs="Arial"/>
          <w:sz w:val="20"/>
          <w:szCs w:val="20"/>
        </w:rPr>
      </w:pPr>
      <w:r>
        <w:rPr>
          <w:rFonts w:ascii="Arial" w:hAnsi="Arial" w:cs="Arial"/>
          <w:sz w:val="20"/>
          <w:szCs w:val="20"/>
        </w:rPr>
        <w:t>Vir: Evropska komisija</w:t>
      </w:r>
    </w:p>
    <w:p w:rsidR="006A0A1E" w:rsidRPr="006A0A1E" w:rsidRDefault="006A0A1E" w:rsidP="006A0A1E">
      <w:pPr>
        <w:rPr>
          <w:rFonts w:ascii="Arial" w:hAnsi="Arial" w:cs="Arial"/>
          <w:b/>
          <w:sz w:val="20"/>
          <w:szCs w:val="20"/>
        </w:rPr>
      </w:pPr>
      <w:r w:rsidRPr="006A0A1E">
        <w:rPr>
          <w:rFonts w:ascii="Arial" w:hAnsi="Arial" w:cs="Arial"/>
          <w:b/>
          <w:sz w:val="20"/>
          <w:szCs w:val="20"/>
        </w:rPr>
        <w:t>Koristne informacije:</w:t>
      </w:r>
    </w:p>
    <w:p w:rsidR="006A0A1E" w:rsidRPr="006A0A1E" w:rsidRDefault="006A0A1E" w:rsidP="006A0A1E">
      <w:pPr>
        <w:pStyle w:val="Odstavekseznama"/>
        <w:numPr>
          <w:ilvl w:val="0"/>
          <w:numId w:val="1"/>
        </w:numPr>
        <w:rPr>
          <w:rFonts w:ascii="Arial" w:hAnsi="Arial" w:cs="Arial"/>
          <w:sz w:val="20"/>
          <w:szCs w:val="20"/>
        </w:rPr>
      </w:pPr>
      <w:r w:rsidRPr="006A0A1E">
        <w:rPr>
          <w:rFonts w:ascii="Arial" w:hAnsi="Arial" w:cs="Arial"/>
          <w:sz w:val="20"/>
          <w:szCs w:val="20"/>
        </w:rPr>
        <w:t>Sporočilo z informacijami o programu:</w:t>
      </w:r>
    </w:p>
    <w:p w:rsidR="006A0A1E" w:rsidRDefault="006A0A1E" w:rsidP="006A0A1E">
      <w:pPr>
        <w:pStyle w:val="Odstavekseznama"/>
        <w:numPr>
          <w:ilvl w:val="0"/>
          <w:numId w:val="1"/>
        </w:numPr>
        <w:rPr>
          <w:rFonts w:ascii="Arial" w:hAnsi="Arial" w:cs="Arial"/>
          <w:sz w:val="20"/>
          <w:szCs w:val="20"/>
        </w:rPr>
      </w:pPr>
      <w:hyperlink r:id="rId6" w:history="1">
        <w:r w:rsidRPr="006A0A1E">
          <w:rPr>
            <w:rStyle w:val="Hiperpovezava"/>
            <w:rFonts w:ascii="Arial" w:hAnsi="Arial" w:cs="Arial"/>
            <w:sz w:val="20"/>
            <w:szCs w:val="20"/>
          </w:rPr>
          <w:t>https://ec.europa.eu/info/news/commission-focus-growth-markets-eu-food-and-drink-2018-promotion-programmes_en</w:t>
        </w:r>
      </w:hyperlink>
    </w:p>
    <w:p w:rsidR="00172AAC" w:rsidRDefault="00172AAC" w:rsidP="006A0A1E">
      <w:pPr>
        <w:pStyle w:val="Odstavekseznama"/>
        <w:numPr>
          <w:ilvl w:val="0"/>
          <w:numId w:val="1"/>
        </w:numPr>
        <w:rPr>
          <w:rFonts w:ascii="Arial" w:hAnsi="Arial" w:cs="Arial"/>
          <w:sz w:val="20"/>
          <w:szCs w:val="20"/>
        </w:rPr>
      </w:pPr>
      <w:r>
        <w:rPr>
          <w:rFonts w:ascii="Arial" w:hAnsi="Arial" w:cs="Arial"/>
          <w:sz w:val="20"/>
          <w:szCs w:val="20"/>
        </w:rPr>
        <w:t>Spletna stran z informacijami o promociji kmetijskih in živilskih izdelkov v EU:</w:t>
      </w:r>
    </w:p>
    <w:p w:rsidR="00172AAC" w:rsidRPr="006A0A1E" w:rsidRDefault="00172AAC" w:rsidP="006A0A1E">
      <w:pPr>
        <w:pStyle w:val="Odstavekseznama"/>
        <w:numPr>
          <w:ilvl w:val="0"/>
          <w:numId w:val="1"/>
        </w:numPr>
        <w:rPr>
          <w:rFonts w:ascii="Arial" w:hAnsi="Arial" w:cs="Arial"/>
          <w:sz w:val="20"/>
          <w:szCs w:val="20"/>
        </w:rPr>
      </w:pPr>
      <w:hyperlink r:id="rId7" w:history="1">
        <w:r w:rsidRPr="005A576C">
          <w:rPr>
            <w:rStyle w:val="Hiperpovezava"/>
            <w:rFonts w:ascii="Arial" w:hAnsi="Arial" w:cs="Arial"/>
            <w:sz w:val="20"/>
            <w:szCs w:val="20"/>
          </w:rPr>
          <w:t>https://ec.europa.eu/info/food-farming/promotion_sl</w:t>
        </w:r>
      </w:hyperlink>
      <w:r>
        <w:rPr>
          <w:rFonts w:ascii="Arial" w:hAnsi="Arial" w:cs="Arial"/>
          <w:sz w:val="20"/>
          <w:szCs w:val="20"/>
        </w:rPr>
        <w:t xml:space="preserve"> </w:t>
      </w:r>
    </w:p>
    <w:p w:rsidR="006A0A1E" w:rsidRPr="006A0A1E" w:rsidRDefault="006A0A1E" w:rsidP="006A0A1E">
      <w:pPr>
        <w:rPr>
          <w:rFonts w:ascii="Arial" w:hAnsi="Arial" w:cs="Arial"/>
          <w:sz w:val="20"/>
          <w:szCs w:val="20"/>
        </w:rPr>
      </w:pPr>
      <w:r w:rsidRPr="006A0A1E">
        <w:rPr>
          <w:rFonts w:ascii="Arial" w:hAnsi="Arial" w:cs="Arial"/>
          <w:sz w:val="20"/>
          <w:szCs w:val="20"/>
        </w:rPr>
        <w:t>Pripravila:</w:t>
      </w:r>
    </w:p>
    <w:p w:rsidR="006A0A1E" w:rsidRPr="006A0A1E" w:rsidRDefault="006A0A1E" w:rsidP="006A0A1E">
      <w:pPr>
        <w:rPr>
          <w:rFonts w:ascii="Arial" w:hAnsi="Arial" w:cs="Arial"/>
          <w:sz w:val="20"/>
          <w:szCs w:val="20"/>
        </w:rPr>
      </w:pPr>
      <w:r w:rsidRPr="006A0A1E">
        <w:rPr>
          <w:rFonts w:ascii="Arial" w:hAnsi="Arial" w:cs="Arial"/>
          <w:sz w:val="20"/>
          <w:szCs w:val="20"/>
        </w:rPr>
        <w:t>Darja Kocbek</w:t>
      </w:r>
    </w:p>
    <w:p w:rsidR="000D5A62" w:rsidRPr="000D5A62" w:rsidRDefault="000D5A62" w:rsidP="000D5A62">
      <w:pPr>
        <w:rPr>
          <w:rFonts w:ascii="Arial" w:eastAsia="Times New Roman" w:hAnsi="Arial" w:cs="Arial"/>
          <w:sz w:val="24"/>
          <w:szCs w:val="24"/>
          <w:lang w:eastAsia="sl-SI"/>
        </w:rPr>
      </w:pPr>
    </w:p>
    <w:p w:rsidR="00B459D4" w:rsidRDefault="00B459D4" w:rsidP="000D5A62">
      <w:pPr>
        <w:tabs>
          <w:tab w:val="left" w:pos="1935"/>
        </w:tabs>
      </w:pPr>
    </w:p>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5221D"/>
    <w:multiLevelType w:val="hybridMultilevel"/>
    <w:tmpl w:val="B9C8D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5A62"/>
    <w:rsid w:val="000B7664"/>
    <w:rsid w:val="000D5A62"/>
    <w:rsid w:val="00172AAC"/>
    <w:rsid w:val="006A0A1E"/>
    <w:rsid w:val="008038DC"/>
    <w:rsid w:val="00B459D4"/>
    <w:rsid w:val="00D063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0D5A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D5A62"/>
    <w:rPr>
      <w:rFonts w:asciiTheme="majorHAnsi" w:eastAsiaTheme="majorEastAsia" w:hAnsiTheme="majorHAnsi" w:cstheme="majorBidi"/>
      <w:b/>
      <w:bCs/>
      <w:color w:val="4F81BD" w:themeColor="accent1"/>
      <w:sz w:val="26"/>
      <w:szCs w:val="26"/>
    </w:rPr>
  </w:style>
  <w:style w:type="table" w:styleId="Tabela-mrea">
    <w:name w:val="Table Grid"/>
    <w:basedOn w:val="Navadnatabela"/>
    <w:uiPriority w:val="59"/>
    <w:rsid w:val="006A0A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6A0A1E"/>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A0A1E"/>
    <w:rPr>
      <w:b/>
      <w:bCs/>
    </w:rPr>
  </w:style>
  <w:style w:type="character" w:styleId="Hiperpovezava">
    <w:name w:val="Hyperlink"/>
    <w:basedOn w:val="Privzetapisavaodstavka"/>
    <w:uiPriority w:val="99"/>
    <w:unhideWhenUsed/>
    <w:rsid w:val="006A0A1E"/>
    <w:rPr>
      <w:color w:val="0000FF" w:themeColor="hyperlink"/>
      <w:u w:val="single"/>
    </w:rPr>
  </w:style>
  <w:style w:type="paragraph" w:styleId="Odstavekseznama">
    <w:name w:val="List Paragraph"/>
    <w:basedOn w:val="Navaden"/>
    <w:uiPriority w:val="34"/>
    <w:qFormat/>
    <w:rsid w:val="006A0A1E"/>
    <w:pPr>
      <w:ind w:left="720"/>
      <w:contextualSpacing/>
    </w:pPr>
  </w:style>
  <w:style w:type="paragraph" w:styleId="Brezrazmikov">
    <w:name w:val="No Spacing"/>
    <w:uiPriority w:val="1"/>
    <w:qFormat/>
    <w:rsid w:val="000B7664"/>
    <w:pPr>
      <w:spacing w:after="0"/>
    </w:pPr>
  </w:style>
  <w:style w:type="paragraph" w:styleId="Besedilooblaka">
    <w:name w:val="Balloon Text"/>
    <w:basedOn w:val="Navaden"/>
    <w:link w:val="BesedilooblakaZnak"/>
    <w:uiPriority w:val="99"/>
    <w:semiHidden/>
    <w:unhideWhenUsed/>
    <w:rsid w:val="000B766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7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455667">
      <w:bodyDiv w:val="1"/>
      <w:marLeft w:val="0"/>
      <w:marRight w:val="0"/>
      <w:marTop w:val="0"/>
      <w:marBottom w:val="0"/>
      <w:divBdr>
        <w:top w:val="none" w:sz="0" w:space="0" w:color="auto"/>
        <w:left w:val="none" w:sz="0" w:space="0" w:color="auto"/>
        <w:bottom w:val="none" w:sz="0" w:space="0" w:color="auto"/>
        <w:right w:val="none" w:sz="0" w:space="0" w:color="auto"/>
      </w:divBdr>
      <w:divsChild>
        <w:div w:id="543176905">
          <w:marLeft w:val="0"/>
          <w:marRight w:val="0"/>
          <w:marTop w:val="0"/>
          <w:marBottom w:val="0"/>
          <w:divBdr>
            <w:top w:val="none" w:sz="0" w:space="0" w:color="auto"/>
            <w:left w:val="none" w:sz="0" w:space="0" w:color="auto"/>
            <w:bottom w:val="none" w:sz="0" w:space="0" w:color="auto"/>
            <w:right w:val="none" w:sz="0" w:space="0" w:color="auto"/>
          </w:divBdr>
        </w:div>
        <w:div w:id="265039709">
          <w:marLeft w:val="0"/>
          <w:marRight w:val="0"/>
          <w:marTop w:val="0"/>
          <w:marBottom w:val="0"/>
          <w:divBdr>
            <w:top w:val="none" w:sz="0" w:space="0" w:color="auto"/>
            <w:left w:val="none" w:sz="0" w:space="0" w:color="auto"/>
            <w:bottom w:val="none" w:sz="0" w:space="0" w:color="auto"/>
            <w:right w:val="none" w:sz="0" w:space="0" w:color="auto"/>
          </w:divBdr>
        </w:div>
      </w:divsChild>
    </w:div>
    <w:div w:id="1822113299">
      <w:bodyDiv w:val="1"/>
      <w:marLeft w:val="0"/>
      <w:marRight w:val="0"/>
      <w:marTop w:val="0"/>
      <w:marBottom w:val="0"/>
      <w:divBdr>
        <w:top w:val="none" w:sz="0" w:space="0" w:color="auto"/>
        <w:left w:val="none" w:sz="0" w:space="0" w:color="auto"/>
        <w:bottom w:val="none" w:sz="0" w:space="0" w:color="auto"/>
        <w:right w:val="none" w:sz="0" w:space="0" w:color="auto"/>
      </w:divBdr>
      <w:divsChild>
        <w:div w:id="587468764">
          <w:marLeft w:val="0"/>
          <w:marRight w:val="0"/>
          <w:marTop w:val="0"/>
          <w:marBottom w:val="0"/>
          <w:divBdr>
            <w:top w:val="none" w:sz="0" w:space="0" w:color="auto"/>
            <w:left w:val="none" w:sz="0" w:space="0" w:color="auto"/>
            <w:bottom w:val="none" w:sz="0" w:space="0" w:color="auto"/>
            <w:right w:val="none" w:sz="0" w:space="0" w:color="auto"/>
          </w:divBdr>
        </w:div>
      </w:divsChild>
    </w:div>
    <w:div w:id="1959028041">
      <w:bodyDiv w:val="1"/>
      <w:marLeft w:val="0"/>
      <w:marRight w:val="0"/>
      <w:marTop w:val="0"/>
      <w:marBottom w:val="0"/>
      <w:divBdr>
        <w:top w:val="none" w:sz="0" w:space="0" w:color="auto"/>
        <w:left w:val="none" w:sz="0" w:space="0" w:color="auto"/>
        <w:bottom w:val="none" w:sz="0" w:space="0" w:color="auto"/>
        <w:right w:val="none" w:sz="0" w:space="0" w:color="auto"/>
      </w:divBdr>
      <w:divsChild>
        <w:div w:id="729768977">
          <w:marLeft w:val="0"/>
          <w:marRight w:val="0"/>
          <w:marTop w:val="0"/>
          <w:marBottom w:val="0"/>
          <w:divBdr>
            <w:top w:val="none" w:sz="0" w:space="0" w:color="auto"/>
            <w:left w:val="none" w:sz="0" w:space="0" w:color="auto"/>
            <w:bottom w:val="none" w:sz="0" w:space="0" w:color="auto"/>
            <w:right w:val="none" w:sz="0" w:space="0" w:color="auto"/>
          </w:divBdr>
        </w:div>
        <w:div w:id="20599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ood-farming/promotio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commission-focus-growth-markets-eu-food-and-drink-2018-promotion-programme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445</Words>
  <Characters>2539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2017-11-15T15:47:00Z</dcterms:created>
  <dcterms:modified xsi:type="dcterms:W3CDTF">2017-11-15T16:17:00Z</dcterms:modified>
</cp:coreProperties>
</file>