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D3" w:rsidRPr="00467345" w:rsidRDefault="008C6BD3" w:rsidP="008C6BD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C6BD3" w:rsidRDefault="008C6BD3" w:rsidP="008C6BD3">
      <w:pPr>
        <w:pStyle w:val="Naslov2"/>
        <w:tabs>
          <w:tab w:val="left" w:pos="3120"/>
        </w:tabs>
        <w:spacing w:before="0"/>
        <w:jc w:val="center"/>
        <w:rPr>
          <w:sz w:val="22"/>
        </w:rPr>
      </w:pPr>
      <w:r w:rsidRPr="00083714">
        <w:rPr>
          <w:sz w:val="22"/>
        </w:rPr>
        <w:t>Slovensko gospodarsko in raziskovalno združenje, Bruselj</w:t>
      </w:r>
    </w:p>
    <w:p w:rsidR="008C6BD3" w:rsidRPr="00083714" w:rsidRDefault="008C6BD3" w:rsidP="008C6BD3">
      <w:pPr>
        <w:pStyle w:val="Naslov2"/>
        <w:tabs>
          <w:tab w:val="left" w:pos="3120"/>
        </w:tabs>
        <w:spacing w:before="0"/>
        <w:jc w:val="center"/>
        <w:rPr>
          <w:b w:val="0"/>
          <w:bCs w:val="0"/>
          <w:i/>
          <w:iCs/>
          <w:sz w:val="22"/>
        </w:rPr>
      </w:pPr>
    </w:p>
    <w:p w:rsidR="008C6BD3" w:rsidRPr="00083714" w:rsidRDefault="008C6BD3" w:rsidP="008C6BD3">
      <w:pPr>
        <w:pBdr>
          <w:bottom w:val="single" w:sz="6" w:space="1" w:color="auto"/>
        </w:pBdr>
        <w:tabs>
          <w:tab w:val="left" w:pos="3120"/>
        </w:tabs>
        <w:rPr>
          <w:sz w:val="16"/>
          <w:szCs w:val="16"/>
        </w:rPr>
      </w:pPr>
    </w:p>
    <w:p w:rsidR="008C6BD3" w:rsidRDefault="008C6BD3" w:rsidP="008C6BD3">
      <w:pPr>
        <w:tabs>
          <w:tab w:val="left" w:pos="3120"/>
        </w:tabs>
        <w:rPr>
          <w:b/>
        </w:rPr>
      </w:pPr>
      <w:r w:rsidRPr="00083714">
        <w:rPr>
          <w:b/>
        </w:rPr>
        <w:tab/>
      </w:r>
      <w:r>
        <w:rPr>
          <w:b/>
        </w:rPr>
        <w:t xml:space="preserve">Občasna informacija članom 170 </w:t>
      </w:r>
      <w:r w:rsidRPr="00083714">
        <w:rPr>
          <w:b/>
        </w:rPr>
        <w:t>– 20</w:t>
      </w:r>
      <w:r>
        <w:rPr>
          <w:b/>
        </w:rPr>
        <w:t>22</w:t>
      </w:r>
    </w:p>
    <w:p w:rsidR="008C6BD3" w:rsidRPr="0002310E" w:rsidRDefault="008C6BD3" w:rsidP="008C6BD3">
      <w:pPr>
        <w:tabs>
          <w:tab w:val="left" w:pos="3120"/>
        </w:tabs>
        <w:jc w:val="center"/>
        <w:rPr>
          <w:b/>
        </w:rPr>
      </w:pPr>
      <w:r>
        <w:rPr>
          <w:b/>
        </w:rPr>
        <w:t xml:space="preserve">07. november </w:t>
      </w:r>
      <w:r w:rsidRPr="00083714">
        <w:rPr>
          <w:b/>
        </w:rPr>
        <w:t xml:space="preserve"> 20</w:t>
      </w:r>
      <w:r>
        <w:rPr>
          <w:b/>
        </w:rPr>
        <w:t>22</w:t>
      </w:r>
    </w:p>
    <w:p w:rsidR="00C6193D" w:rsidRDefault="008C6BD3" w:rsidP="008C6BD3">
      <w:pPr>
        <w:jc w:val="center"/>
        <w:rPr>
          <w:rFonts w:ascii="Arial" w:hAnsi="Arial" w:cs="Arial"/>
          <w:b/>
          <w:i/>
        </w:rPr>
      </w:pPr>
      <w:r>
        <w:rPr>
          <w:b/>
          <w:color w:val="993300"/>
          <w:sz w:val="32"/>
          <w:szCs w:val="32"/>
        </w:rPr>
        <w:t>V veljavo je stopil akt EU o digitalnih trgih</w:t>
      </w:r>
    </w:p>
    <w:p w:rsidR="003C0AAF" w:rsidRPr="00C6193D" w:rsidRDefault="003C0AAF" w:rsidP="00C6193D">
      <w:pPr>
        <w:jc w:val="both"/>
        <w:rPr>
          <w:rFonts w:ascii="Arial" w:hAnsi="Arial" w:cs="Arial"/>
          <w:b/>
          <w:i/>
        </w:rPr>
      </w:pPr>
      <w:r w:rsidRPr="00C6193D">
        <w:rPr>
          <w:rFonts w:ascii="Arial" w:hAnsi="Arial" w:cs="Arial"/>
          <w:b/>
          <w:i/>
        </w:rPr>
        <w:t>V veljavo je stopil akt EU o digitalnih trgih. Namen nove uredbe je odpraviti nepoštene prakse podjetij, ki delujejo kot vratarji v gospodarstvu spletnih platform. Akt določa, kdaj se velika spletna platforma šteje za »vratarja«. To so digitalne platforme, ki zagotavljajo pomembno vstopno točko med poslovnimi uporabniki in potrošniki, njihov položaj pa jim lahko omogoča, da kot zasebni subjekti postavljajo pravila in tako ustvarjajo ozko grlo v digitalnem gospodarstvu. V aktu so opredeljene obveznosti vključno s prepovedjo ravnanj za vratarje.</w:t>
      </w:r>
      <w:r w:rsidR="008D7A59">
        <w:rPr>
          <w:rFonts w:ascii="Arial" w:hAnsi="Arial" w:cs="Arial"/>
          <w:b/>
          <w:i/>
        </w:rPr>
        <w:t xml:space="preserve"> Člani lahko dobijo več informacij na SBRA.</w:t>
      </w:r>
    </w:p>
    <w:p w:rsidR="00E85393" w:rsidRPr="00C6193D" w:rsidRDefault="00E85393" w:rsidP="00C6193D">
      <w:pPr>
        <w:jc w:val="both"/>
        <w:rPr>
          <w:rFonts w:ascii="Arial" w:hAnsi="Arial" w:cs="Arial"/>
          <w:b/>
          <w:sz w:val="20"/>
          <w:szCs w:val="20"/>
        </w:rPr>
      </w:pPr>
      <w:r w:rsidRPr="00C6193D">
        <w:rPr>
          <w:rFonts w:ascii="Arial" w:hAnsi="Arial" w:cs="Arial"/>
          <w:b/>
          <w:sz w:val="20"/>
          <w:szCs w:val="20"/>
        </w:rPr>
        <w:t>Tabela 1: Merila, na podlagi katerih za podjetje veljajo določbe akta o digitalnih trgih</w:t>
      </w:r>
    </w:p>
    <w:tbl>
      <w:tblPr>
        <w:tblStyle w:val="Tabela-mrea"/>
        <w:tblW w:w="0" w:type="auto"/>
        <w:tblLook w:val="04A0"/>
      </w:tblPr>
      <w:tblGrid>
        <w:gridCol w:w="4606"/>
        <w:gridCol w:w="4606"/>
      </w:tblGrid>
      <w:tr w:rsidR="00E85393" w:rsidRPr="00C6193D" w:rsidTr="00E85393">
        <w:tc>
          <w:tcPr>
            <w:tcW w:w="4606" w:type="dxa"/>
          </w:tcPr>
          <w:p w:rsidR="00E85393" w:rsidRPr="00C6193D" w:rsidRDefault="00E85393" w:rsidP="00C6193D">
            <w:pPr>
              <w:jc w:val="both"/>
              <w:rPr>
                <w:rFonts w:ascii="Arial" w:hAnsi="Arial" w:cs="Arial"/>
                <w:b/>
                <w:sz w:val="20"/>
                <w:szCs w:val="20"/>
              </w:rPr>
            </w:pPr>
            <w:r w:rsidRPr="00C6193D">
              <w:rPr>
                <w:rFonts w:ascii="Arial" w:hAnsi="Arial" w:cs="Arial"/>
                <w:b/>
                <w:sz w:val="20"/>
                <w:szCs w:val="20"/>
              </w:rPr>
              <w:t>Merilo</w:t>
            </w:r>
          </w:p>
        </w:tc>
        <w:tc>
          <w:tcPr>
            <w:tcW w:w="4606" w:type="dxa"/>
          </w:tcPr>
          <w:p w:rsidR="00E85393" w:rsidRPr="00C6193D" w:rsidRDefault="00E85393" w:rsidP="00C6193D">
            <w:pPr>
              <w:jc w:val="both"/>
              <w:rPr>
                <w:rFonts w:ascii="Arial" w:hAnsi="Arial" w:cs="Arial"/>
                <w:b/>
                <w:sz w:val="20"/>
                <w:szCs w:val="20"/>
              </w:rPr>
            </w:pPr>
            <w:r w:rsidRPr="00C6193D">
              <w:rPr>
                <w:rFonts w:ascii="Arial" w:hAnsi="Arial" w:cs="Arial"/>
                <w:b/>
                <w:sz w:val="20"/>
                <w:szCs w:val="20"/>
              </w:rPr>
              <w:t>Kratek opis</w:t>
            </w:r>
          </w:p>
        </w:tc>
      </w:tr>
      <w:tr w:rsidR="00E85393" w:rsidRPr="00C6193D" w:rsidTr="00E85393">
        <w:tc>
          <w:tcPr>
            <w:tcW w:w="4606" w:type="dxa"/>
          </w:tcPr>
          <w:p w:rsidR="00E85393" w:rsidRPr="00C6193D" w:rsidRDefault="00E85393" w:rsidP="00C6193D">
            <w:pPr>
              <w:jc w:val="both"/>
              <w:rPr>
                <w:rFonts w:ascii="Arial" w:hAnsi="Arial" w:cs="Arial"/>
                <w:b/>
                <w:sz w:val="20"/>
                <w:szCs w:val="20"/>
              </w:rPr>
            </w:pPr>
            <w:r w:rsidRPr="00C6193D">
              <w:rPr>
                <w:rFonts w:ascii="Arial" w:hAnsi="Arial" w:cs="Arial"/>
                <w:b/>
                <w:sz w:val="20"/>
                <w:szCs w:val="20"/>
              </w:rPr>
              <w:t>Velikost, ki vpliva na notranji trg</w:t>
            </w:r>
          </w:p>
        </w:tc>
        <w:tc>
          <w:tcPr>
            <w:tcW w:w="4606" w:type="dxa"/>
          </w:tcPr>
          <w:p w:rsidR="00E85393" w:rsidRPr="00C6193D" w:rsidRDefault="00E85393" w:rsidP="00C6193D">
            <w:pPr>
              <w:jc w:val="both"/>
              <w:rPr>
                <w:rFonts w:ascii="Arial" w:hAnsi="Arial" w:cs="Arial"/>
                <w:sz w:val="20"/>
                <w:szCs w:val="20"/>
              </w:rPr>
            </w:pPr>
            <w:r w:rsidRPr="00C6193D">
              <w:rPr>
                <w:rFonts w:ascii="Arial" w:hAnsi="Arial" w:cs="Arial"/>
                <w:sz w:val="20"/>
                <w:szCs w:val="20"/>
              </w:rPr>
              <w:t xml:space="preserve">To merilo podjetje izpolni, kadar ustvari določen letni promet v Evropskem gospodarskem prostoru (EGP) in zagotavlja jedrno </w:t>
            </w:r>
            <w:proofErr w:type="spellStart"/>
            <w:r w:rsidRPr="00C6193D">
              <w:rPr>
                <w:rFonts w:ascii="Arial" w:hAnsi="Arial" w:cs="Arial"/>
                <w:sz w:val="20"/>
                <w:szCs w:val="20"/>
              </w:rPr>
              <w:t>platformno</w:t>
            </w:r>
            <w:proofErr w:type="spellEnd"/>
            <w:r w:rsidRPr="00C6193D">
              <w:rPr>
                <w:rFonts w:ascii="Arial" w:hAnsi="Arial" w:cs="Arial"/>
                <w:sz w:val="20"/>
                <w:szCs w:val="20"/>
              </w:rPr>
              <w:t xml:space="preserve"> storitev v vsaj treh državah članicah EU</w:t>
            </w:r>
          </w:p>
        </w:tc>
      </w:tr>
      <w:tr w:rsidR="00E85393" w:rsidRPr="00C6193D" w:rsidTr="00E85393">
        <w:tc>
          <w:tcPr>
            <w:tcW w:w="4606" w:type="dxa"/>
          </w:tcPr>
          <w:p w:rsidR="00E85393" w:rsidRPr="00C6193D" w:rsidRDefault="00E85393" w:rsidP="00C6193D">
            <w:pPr>
              <w:jc w:val="both"/>
              <w:rPr>
                <w:rFonts w:ascii="Arial" w:hAnsi="Arial" w:cs="Arial"/>
                <w:b/>
                <w:sz w:val="20"/>
                <w:szCs w:val="20"/>
              </w:rPr>
            </w:pPr>
            <w:r w:rsidRPr="00C6193D">
              <w:rPr>
                <w:rFonts w:ascii="Arial" w:hAnsi="Arial" w:cs="Arial"/>
                <w:b/>
                <w:sz w:val="20"/>
                <w:szCs w:val="20"/>
              </w:rPr>
              <w:t>Nadzor nad pomembno vstopno točko, prek katere poslovni uporabniki dosežejo končne potrošnike</w:t>
            </w:r>
          </w:p>
        </w:tc>
        <w:tc>
          <w:tcPr>
            <w:tcW w:w="4606" w:type="dxa"/>
          </w:tcPr>
          <w:p w:rsidR="00E85393" w:rsidRPr="00C6193D" w:rsidRDefault="00E85393" w:rsidP="00C6193D">
            <w:pPr>
              <w:jc w:val="both"/>
              <w:rPr>
                <w:rFonts w:ascii="Arial" w:hAnsi="Arial" w:cs="Arial"/>
                <w:sz w:val="20"/>
                <w:szCs w:val="20"/>
              </w:rPr>
            </w:pPr>
            <w:r w:rsidRPr="00C6193D">
              <w:rPr>
                <w:rFonts w:ascii="Arial" w:hAnsi="Arial" w:cs="Arial"/>
                <w:sz w:val="20"/>
                <w:szCs w:val="20"/>
              </w:rPr>
              <w:t xml:space="preserve">To merilo podjetje izpolni, kadar zagotavlja jedrno </w:t>
            </w:r>
            <w:proofErr w:type="spellStart"/>
            <w:r w:rsidRPr="00C6193D">
              <w:rPr>
                <w:rFonts w:ascii="Arial" w:hAnsi="Arial" w:cs="Arial"/>
                <w:sz w:val="20"/>
                <w:szCs w:val="20"/>
              </w:rPr>
              <w:t>platformno</w:t>
            </w:r>
            <w:proofErr w:type="spellEnd"/>
            <w:r w:rsidRPr="00C6193D">
              <w:rPr>
                <w:rFonts w:ascii="Arial" w:hAnsi="Arial" w:cs="Arial"/>
                <w:sz w:val="20"/>
                <w:szCs w:val="20"/>
              </w:rPr>
              <w:t xml:space="preserve"> storitev več kot 45 milijonom mesečno aktivnim končnim uporabnikom, ki imajo sedež ali se nahajajo v EU, in več kot 10 000 letno aktivnim poslovnim uporabnikom s sedežem v EU </w:t>
            </w:r>
          </w:p>
        </w:tc>
      </w:tr>
      <w:tr w:rsidR="00E85393" w:rsidRPr="00C6193D" w:rsidTr="00E85393">
        <w:tc>
          <w:tcPr>
            <w:tcW w:w="4606" w:type="dxa"/>
          </w:tcPr>
          <w:p w:rsidR="00E85393" w:rsidRPr="00C6193D" w:rsidRDefault="00E85393" w:rsidP="00C6193D">
            <w:pPr>
              <w:jc w:val="both"/>
              <w:rPr>
                <w:rFonts w:ascii="Arial" w:hAnsi="Arial" w:cs="Arial"/>
                <w:b/>
                <w:sz w:val="20"/>
                <w:szCs w:val="20"/>
              </w:rPr>
            </w:pPr>
            <w:r w:rsidRPr="00C6193D">
              <w:rPr>
                <w:rFonts w:ascii="Arial" w:hAnsi="Arial" w:cs="Arial"/>
                <w:b/>
                <w:sz w:val="20"/>
                <w:szCs w:val="20"/>
              </w:rPr>
              <w:t>Utrjen in trajen položaj</w:t>
            </w:r>
          </w:p>
        </w:tc>
        <w:tc>
          <w:tcPr>
            <w:tcW w:w="4606" w:type="dxa"/>
          </w:tcPr>
          <w:p w:rsidR="00E85393" w:rsidRPr="00C6193D" w:rsidRDefault="00E85393" w:rsidP="00C6193D">
            <w:pPr>
              <w:jc w:val="both"/>
              <w:rPr>
                <w:rFonts w:ascii="Arial" w:hAnsi="Arial" w:cs="Arial"/>
                <w:sz w:val="20"/>
                <w:szCs w:val="20"/>
              </w:rPr>
            </w:pPr>
            <w:r w:rsidRPr="00C6193D">
              <w:rPr>
                <w:rFonts w:ascii="Arial" w:hAnsi="Arial" w:cs="Arial"/>
                <w:sz w:val="20"/>
                <w:szCs w:val="20"/>
              </w:rPr>
              <w:t>To merilo velja v primeru, da je podjetje v zadnjih treh letih izpolnilo drugo merilo</w:t>
            </w:r>
          </w:p>
        </w:tc>
      </w:tr>
    </w:tbl>
    <w:p w:rsidR="007308DA" w:rsidRPr="00C6193D" w:rsidRDefault="00E85393" w:rsidP="00C6193D">
      <w:pPr>
        <w:jc w:val="both"/>
        <w:rPr>
          <w:rFonts w:ascii="Arial" w:hAnsi="Arial" w:cs="Arial"/>
          <w:sz w:val="20"/>
          <w:szCs w:val="20"/>
        </w:rPr>
      </w:pPr>
      <w:r w:rsidRPr="00C6193D">
        <w:rPr>
          <w:rFonts w:ascii="Arial" w:hAnsi="Arial" w:cs="Arial"/>
          <w:sz w:val="20"/>
          <w:szCs w:val="20"/>
        </w:rPr>
        <w:t>Vir: Evropska komisija</w:t>
      </w:r>
    </w:p>
    <w:p w:rsidR="00037E43" w:rsidRPr="00C6193D" w:rsidRDefault="00037E43" w:rsidP="00C6193D">
      <w:pPr>
        <w:jc w:val="both"/>
        <w:rPr>
          <w:rFonts w:ascii="Arial" w:hAnsi="Arial" w:cs="Arial"/>
          <w:sz w:val="20"/>
          <w:szCs w:val="20"/>
        </w:rPr>
      </w:pPr>
      <w:r w:rsidRPr="00C6193D">
        <w:rPr>
          <w:rFonts w:ascii="Arial" w:hAnsi="Arial" w:cs="Arial"/>
          <w:sz w:val="20"/>
          <w:szCs w:val="20"/>
        </w:rPr>
        <w:t xml:space="preserve">Akt o digitalnih trgih bo z začetkom veljavnosti prešel v ključno fazo izvajanja. Začetek uporabe je določen v šestih mesecih, to je od 2. maja 2023. Potencialni vratarji bodo morali nato v dveh mesecih, najpozneje pa do 3. julija 2023, Evropsko komisijo uradno obvestiti o svojih jedrnih </w:t>
      </w:r>
      <w:proofErr w:type="spellStart"/>
      <w:r w:rsidRPr="00C6193D">
        <w:rPr>
          <w:rFonts w:ascii="Arial" w:hAnsi="Arial" w:cs="Arial"/>
          <w:sz w:val="20"/>
          <w:szCs w:val="20"/>
        </w:rPr>
        <w:t>platformnih</w:t>
      </w:r>
      <w:proofErr w:type="spellEnd"/>
      <w:r w:rsidRPr="00C6193D">
        <w:rPr>
          <w:rFonts w:ascii="Arial" w:hAnsi="Arial" w:cs="Arial"/>
          <w:sz w:val="20"/>
          <w:szCs w:val="20"/>
        </w:rPr>
        <w:t xml:space="preserve"> storitvah, če dosegajo mejne vrednosti, določene z aktom.</w:t>
      </w:r>
    </w:p>
    <w:p w:rsidR="00037E43" w:rsidRPr="00C6193D" w:rsidRDefault="00037E43" w:rsidP="00C6193D">
      <w:pPr>
        <w:jc w:val="both"/>
        <w:rPr>
          <w:rFonts w:ascii="Arial" w:hAnsi="Arial" w:cs="Arial"/>
          <w:sz w:val="20"/>
          <w:szCs w:val="20"/>
        </w:rPr>
      </w:pPr>
      <w:r w:rsidRPr="00C6193D">
        <w:rPr>
          <w:rFonts w:ascii="Arial" w:hAnsi="Arial" w:cs="Arial"/>
          <w:sz w:val="20"/>
          <w:szCs w:val="20"/>
        </w:rPr>
        <w:t>Ko bo Evropska komisija prejela popolno uradno obvestilo, bo imela na voljo 45 delovnih dni, da oceni, ali zadevno podjetje dosega mejne vrednosti, in jih imenuje za vratarje. Vratarji bodo imeli po imenovanju na voljo šest mesecev, da izpolnijo zahteve iz akta o digitalnih trgih, in sicer najpozneje do 6. marca 2024.</w:t>
      </w:r>
    </w:p>
    <w:p w:rsidR="008C6BD3" w:rsidRDefault="008C6BD3" w:rsidP="00C6193D">
      <w:pPr>
        <w:jc w:val="both"/>
        <w:rPr>
          <w:rFonts w:ascii="Arial" w:hAnsi="Arial" w:cs="Arial"/>
          <w:b/>
          <w:sz w:val="20"/>
          <w:szCs w:val="20"/>
        </w:rPr>
      </w:pPr>
    </w:p>
    <w:p w:rsidR="00E85393" w:rsidRPr="00C6193D" w:rsidRDefault="00037E43" w:rsidP="00C6193D">
      <w:pPr>
        <w:jc w:val="both"/>
        <w:rPr>
          <w:rFonts w:ascii="Arial" w:hAnsi="Arial" w:cs="Arial"/>
          <w:b/>
          <w:sz w:val="20"/>
          <w:szCs w:val="20"/>
        </w:rPr>
      </w:pPr>
      <w:r w:rsidRPr="00C6193D">
        <w:rPr>
          <w:rFonts w:ascii="Arial" w:hAnsi="Arial" w:cs="Arial"/>
          <w:b/>
          <w:sz w:val="20"/>
          <w:szCs w:val="20"/>
        </w:rPr>
        <w:lastRenderedPageBreak/>
        <w:t>Koristne informacije:</w:t>
      </w:r>
    </w:p>
    <w:p w:rsidR="00037E43" w:rsidRPr="00C6193D" w:rsidRDefault="00037E43" w:rsidP="00C6193D">
      <w:pPr>
        <w:pStyle w:val="Odstavekseznama"/>
        <w:numPr>
          <w:ilvl w:val="0"/>
          <w:numId w:val="1"/>
        </w:numPr>
        <w:jc w:val="both"/>
        <w:rPr>
          <w:rFonts w:ascii="Arial" w:hAnsi="Arial" w:cs="Arial"/>
          <w:sz w:val="20"/>
          <w:szCs w:val="20"/>
        </w:rPr>
      </w:pPr>
      <w:r w:rsidRPr="00C6193D">
        <w:rPr>
          <w:rFonts w:ascii="Arial" w:hAnsi="Arial" w:cs="Arial"/>
          <w:sz w:val="20"/>
          <w:szCs w:val="20"/>
        </w:rPr>
        <w:t>Akt o digitalnih trgih:</w:t>
      </w:r>
    </w:p>
    <w:p w:rsidR="00037E43" w:rsidRPr="00C6193D" w:rsidRDefault="00CD11C4" w:rsidP="00C6193D">
      <w:pPr>
        <w:pStyle w:val="Odstavekseznama"/>
        <w:numPr>
          <w:ilvl w:val="0"/>
          <w:numId w:val="1"/>
        </w:numPr>
        <w:jc w:val="both"/>
        <w:rPr>
          <w:rFonts w:ascii="Arial" w:hAnsi="Arial" w:cs="Arial"/>
          <w:sz w:val="20"/>
          <w:szCs w:val="20"/>
        </w:rPr>
      </w:pPr>
      <w:hyperlink r:id="rId6" w:history="1">
        <w:r w:rsidR="00037E43" w:rsidRPr="00C6193D">
          <w:rPr>
            <w:rStyle w:val="Hiperpovezava"/>
            <w:rFonts w:ascii="Arial" w:hAnsi="Arial" w:cs="Arial"/>
            <w:sz w:val="20"/>
            <w:szCs w:val="20"/>
          </w:rPr>
          <w:t>https://eur-lex.europa.eu/legal-content/SL/TXT/?uri=CELEX:32022R1925</w:t>
        </w:r>
      </w:hyperlink>
    </w:p>
    <w:p w:rsidR="00037E43" w:rsidRPr="00C6193D" w:rsidRDefault="00037E43" w:rsidP="00C6193D">
      <w:pPr>
        <w:pStyle w:val="Odstavekseznama"/>
        <w:numPr>
          <w:ilvl w:val="0"/>
          <w:numId w:val="1"/>
        </w:numPr>
        <w:jc w:val="both"/>
        <w:rPr>
          <w:rFonts w:ascii="Arial" w:hAnsi="Arial" w:cs="Arial"/>
          <w:sz w:val="20"/>
          <w:szCs w:val="20"/>
        </w:rPr>
      </w:pPr>
      <w:r w:rsidRPr="00C6193D">
        <w:rPr>
          <w:rFonts w:ascii="Arial" w:hAnsi="Arial" w:cs="Arial"/>
          <w:sz w:val="20"/>
          <w:szCs w:val="20"/>
        </w:rPr>
        <w:t>Spletna stran z informacijami o aktu:</w:t>
      </w:r>
    </w:p>
    <w:p w:rsidR="00037E43" w:rsidRPr="00C6193D" w:rsidRDefault="00CD11C4" w:rsidP="00C6193D">
      <w:pPr>
        <w:pStyle w:val="Odstavekseznama"/>
        <w:numPr>
          <w:ilvl w:val="0"/>
          <w:numId w:val="1"/>
        </w:numPr>
        <w:jc w:val="both"/>
        <w:rPr>
          <w:rFonts w:ascii="Arial" w:hAnsi="Arial" w:cs="Arial"/>
          <w:sz w:val="20"/>
          <w:szCs w:val="20"/>
        </w:rPr>
      </w:pPr>
      <w:hyperlink r:id="rId7" w:history="1">
        <w:r w:rsidR="00037E43" w:rsidRPr="00C6193D">
          <w:rPr>
            <w:rStyle w:val="Hiperpovezava"/>
            <w:rFonts w:ascii="Arial" w:hAnsi="Arial" w:cs="Arial"/>
            <w:sz w:val="20"/>
            <w:szCs w:val="20"/>
          </w:rPr>
          <w:t>https://ec.europa.eu/info/strategy/priorities-2019-2024/europe-fit-digital-age/digital-markets-act-ensuring-fair-and-open-digital-markets_sl</w:t>
        </w:r>
      </w:hyperlink>
    </w:p>
    <w:p w:rsidR="00037E43" w:rsidRPr="00C6193D" w:rsidRDefault="00037E43" w:rsidP="00C6193D">
      <w:pPr>
        <w:spacing w:after="0"/>
        <w:jc w:val="both"/>
        <w:rPr>
          <w:rFonts w:ascii="Arial" w:hAnsi="Arial" w:cs="Arial"/>
          <w:sz w:val="20"/>
          <w:szCs w:val="20"/>
        </w:rPr>
      </w:pPr>
      <w:r w:rsidRPr="00C6193D">
        <w:rPr>
          <w:rFonts w:ascii="Arial" w:hAnsi="Arial" w:cs="Arial"/>
          <w:sz w:val="20"/>
          <w:szCs w:val="20"/>
        </w:rPr>
        <w:t>Pripravila:</w:t>
      </w:r>
    </w:p>
    <w:p w:rsidR="00037E43" w:rsidRPr="00C6193D" w:rsidRDefault="00037E43" w:rsidP="00C6193D">
      <w:pPr>
        <w:spacing w:after="0"/>
        <w:jc w:val="both"/>
        <w:rPr>
          <w:rFonts w:ascii="Arial" w:hAnsi="Arial" w:cs="Arial"/>
          <w:sz w:val="20"/>
          <w:szCs w:val="20"/>
        </w:rPr>
      </w:pPr>
      <w:r w:rsidRPr="00C6193D">
        <w:rPr>
          <w:rFonts w:ascii="Arial" w:hAnsi="Arial" w:cs="Arial"/>
          <w:sz w:val="20"/>
          <w:szCs w:val="20"/>
        </w:rPr>
        <w:t>Darja Kocbek</w:t>
      </w:r>
    </w:p>
    <w:sectPr w:rsidR="00037E43" w:rsidRPr="00C6193D" w:rsidSect="007308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B3F39"/>
    <w:multiLevelType w:val="hybridMultilevel"/>
    <w:tmpl w:val="7396A4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C0AAF"/>
    <w:rsid w:val="00037E43"/>
    <w:rsid w:val="003C0AAF"/>
    <w:rsid w:val="007308DA"/>
    <w:rsid w:val="008C6BD3"/>
    <w:rsid w:val="008D7A59"/>
    <w:rsid w:val="00C6193D"/>
    <w:rsid w:val="00CD11C4"/>
    <w:rsid w:val="00E8539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08DA"/>
  </w:style>
  <w:style w:type="paragraph" w:styleId="Naslov2">
    <w:name w:val="heading 2"/>
    <w:basedOn w:val="Navaden"/>
    <w:next w:val="Navaden"/>
    <w:link w:val="Naslov2Znak"/>
    <w:uiPriority w:val="9"/>
    <w:semiHidden/>
    <w:unhideWhenUsed/>
    <w:qFormat/>
    <w:rsid w:val="008C6B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C0AAF"/>
    <w:rPr>
      <w:color w:val="0000FF"/>
      <w:u w:val="single"/>
    </w:rPr>
  </w:style>
  <w:style w:type="character" w:styleId="Krepko">
    <w:name w:val="Strong"/>
    <w:basedOn w:val="Privzetapisavaodstavka"/>
    <w:uiPriority w:val="22"/>
    <w:qFormat/>
    <w:rsid w:val="003C0AAF"/>
    <w:rPr>
      <w:b/>
      <w:bCs/>
    </w:rPr>
  </w:style>
  <w:style w:type="table" w:styleId="Tabela-mrea">
    <w:name w:val="Table Grid"/>
    <w:basedOn w:val="Navadnatabela"/>
    <w:uiPriority w:val="59"/>
    <w:rsid w:val="00E853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vadensplet">
    <w:name w:val="Normal (Web)"/>
    <w:basedOn w:val="Navaden"/>
    <w:uiPriority w:val="99"/>
    <w:semiHidden/>
    <w:unhideWhenUsed/>
    <w:rsid w:val="00037E4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6193D"/>
    <w:pPr>
      <w:ind w:left="720"/>
      <w:contextualSpacing/>
    </w:pPr>
  </w:style>
  <w:style w:type="character" w:customStyle="1" w:styleId="Naslov2Znak">
    <w:name w:val="Naslov 2 Znak"/>
    <w:basedOn w:val="Privzetapisavaodstavka"/>
    <w:link w:val="Naslov2"/>
    <w:uiPriority w:val="9"/>
    <w:semiHidden/>
    <w:rsid w:val="008C6BD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C6BD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6B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765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strategy/priorities-2019-2024/europe-fit-digital-age/digital-markets-act-ensuring-fair-and-open-digital-market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SL/TXT/?uri=CELEX:32022R19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415</Words>
  <Characters>2371</Characters>
  <Application>Microsoft Office Word</Application>
  <DocSecurity>0</DocSecurity>
  <Lines>19</Lines>
  <Paragraphs>5</Paragraphs>
  <ScaleCrop>false</ScaleCrop>
  <Company>HP</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2022-11-03T07:30:00Z</dcterms:created>
  <dcterms:modified xsi:type="dcterms:W3CDTF">2022-11-03T08:22:00Z</dcterms:modified>
</cp:coreProperties>
</file>