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35FF" w:rsidRPr="00083714" w:rsidRDefault="009535FF" w:rsidP="009535FF">
      <w:pPr>
        <w:tabs>
          <w:tab w:val="left" w:pos="2520"/>
          <w:tab w:val="left" w:pos="2700"/>
          <w:tab w:val="left" w:pos="3120"/>
        </w:tabs>
        <w:jc w:val="center"/>
      </w:pPr>
      <w:r w:rsidRPr="00083714">
        <w:rPr>
          <w:noProof/>
          <w:lang w:eastAsia="sl-SI"/>
        </w:rPr>
        <w:drawing>
          <wp:inline distT="0" distB="0" distL="0" distR="0">
            <wp:extent cx="2000250" cy="1028700"/>
            <wp:effectExtent l="19050" t="0" r="0" b="0"/>
            <wp:docPr id="1"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9535FF" w:rsidRPr="00083714" w:rsidRDefault="009535FF" w:rsidP="009535FF">
      <w:pPr>
        <w:pStyle w:val="Naslov2"/>
        <w:tabs>
          <w:tab w:val="left" w:pos="3120"/>
        </w:tabs>
        <w:spacing w:before="0"/>
        <w:jc w:val="center"/>
        <w:rPr>
          <w:sz w:val="22"/>
        </w:rPr>
      </w:pPr>
    </w:p>
    <w:p w:rsidR="009535FF" w:rsidRPr="00083714" w:rsidRDefault="009535FF" w:rsidP="009535FF">
      <w:pPr>
        <w:pStyle w:val="Naslov2"/>
        <w:tabs>
          <w:tab w:val="left" w:pos="3120"/>
        </w:tabs>
        <w:spacing w:before="0"/>
        <w:jc w:val="center"/>
        <w:rPr>
          <w:b w:val="0"/>
          <w:bCs w:val="0"/>
          <w:i/>
          <w:iCs/>
          <w:sz w:val="22"/>
        </w:rPr>
      </w:pPr>
      <w:r w:rsidRPr="00083714">
        <w:rPr>
          <w:sz w:val="22"/>
        </w:rPr>
        <w:t>Slovensko gospodarsko in raziskovalno združenje, Bruselj</w:t>
      </w:r>
    </w:p>
    <w:p w:rsidR="009535FF" w:rsidRPr="00083714" w:rsidRDefault="009535FF" w:rsidP="009535FF">
      <w:pPr>
        <w:pBdr>
          <w:bottom w:val="single" w:sz="6" w:space="1" w:color="auto"/>
        </w:pBdr>
        <w:tabs>
          <w:tab w:val="left" w:pos="3120"/>
        </w:tabs>
        <w:jc w:val="center"/>
        <w:rPr>
          <w:sz w:val="16"/>
          <w:szCs w:val="16"/>
        </w:rPr>
      </w:pPr>
    </w:p>
    <w:p w:rsidR="009535FF" w:rsidRPr="00083714" w:rsidRDefault="009535FF" w:rsidP="009535FF">
      <w:pPr>
        <w:tabs>
          <w:tab w:val="left" w:pos="3120"/>
        </w:tabs>
        <w:rPr>
          <w:b/>
        </w:rPr>
      </w:pPr>
      <w:r w:rsidRPr="00083714">
        <w:rPr>
          <w:b/>
        </w:rPr>
        <w:tab/>
      </w:r>
      <w:r>
        <w:rPr>
          <w:b/>
        </w:rPr>
        <w:t>Občasna informacija članom 16</w:t>
      </w:r>
      <w:r w:rsidRPr="00083714">
        <w:rPr>
          <w:b/>
        </w:rPr>
        <w:t xml:space="preserve"> – 20</w:t>
      </w:r>
      <w:r>
        <w:rPr>
          <w:b/>
        </w:rPr>
        <w:t>20</w:t>
      </w:r>
    </w:p>
    <w:p w:rsidR="009535FF" w:rsidRPr="00083714" w:rsidRDefault="009535FF" w:rsidP="009535FF">
      <w:pPr>
        <w:tabs>
          <w:tab w:val="left" w:pos="3120"/>
        </w:tabs>
        <w:jc w:val="center"/>
        <w:rPr>
          <w:b/>
        </w:rPr>
      </w:pPr>
      <w:r>
        <w:rPr>
          <w:b/>
        </w:rPr>
        <w:t>03</w:t>
      </w:r>
      <w:r w:rsidRPr="00083714">
        <w:rPr>
          <w:b/>
        </w:rPr>
        <w:t xml:space="preserve">. </w:t>
      </w:r>
      <w:r>
        <w:rPr>
          <w:b/>
        </w:rPr>
        <w:t>februar</w:t>
      </w:r>
      <w:r w:rsidRPr="00083714">
        <w:rPr>
          <w:b/>
        </w:rPr>
        <w:t xml:space="preserve"> 20</w:t>
      </w:r>
      <w:r>
        <w:rPr>
          <w:b/>
        </w:rPr>
        <w:t>20</w:t>
      </w:r>
    </w:p>
    <w:p w:rsidR="00311D03" w:rsidRPr="00311D03" w:rsidRDefault="009535FF" w:rsidP="00311D03">
      <w:pPr>
        <w:spacing w:before="100" w:beforeAutospacing="1" w:after="198"/>
        <w:jc w:val="center"/>
        <w:rPr>
          <w:rFonts w:ascii="Times New Roman" w:eastAsia="Times New Roman" w:hAnsi="Times New Roman" w:cs="Times New Roman"/>
          <w:sz w:val="24"/>
          <w:szCs w:val="24"/>
          <w:lang w:eastAsia="sl-SI"/>
        </w:rPr>
      </w:pPr>
      <w:r>
        <w:rPr>
          <w:b/>
          <w:color w:val="993300"/>
          <w:sz w:val="32"/>
          <w:szCs w:val="32"/>
        </w:rPr>
        <w:t xml:space="preserve">Študija </w:t>
      </w:r>
      <w:r w:rsidR="00311D03" w:rsidRPr="00311D03">
        <w:rPr>
          <w:rFonts w:ascii="Calibri" w:eastAsia="Times New Roman" w:hAnsi="Calibri" w:cs="Calibri"/>
          <w:b/>
          <w:bCs/>
          <w:color w:val="993300"/>
          <w:sz w:val="32"/>
          <w:szCs w:val="32"/>
          <w:lang w:eastAsia="sl-SI"/>
        </w:rPr>
        <w:t>raziskovalcev JRC o priložnostih za premogovne regije ob prehodu na čiste vire energije</w:t>
      </w:r>
    </w:p>
    <w:p w:rsidR="00311D03" w:rsidRPr="00311D03" w:rsidRDefault="00311D03" w:rsidP="009535FF">
      <w:pPr>
        <w:spacing w:before="57" w:after="57" w:line="240" w:lineRule="auto"/>
        <w:jc w:val="both"/>
        <w:rPr>
          <w:rFonts w:ascii="Arial" w:eastAsia="Times New Roman" w:hAnsi="Arial" w:cs="Arial"/>
          <w:sz w:val="20"/>
          <w:szCs w:val="20"/>
          <w:lang w:eastAsia="sl-SI"/>
        </w:rPr>
      </w:pPr>
      <w:r w:rsidRPr="00311D03">
        <w:rPr>
          <w:rFonts w:ascii="Arial" w:eastAsia="Times New Roman" w:hAnsi="Arial" w:cs="Arial"/>
          <w:b/>
          <w:bCs/>
          <w:i/>
          <w:iCs/>
          <w:sz w:val="20"/>
          <w:szCs w:val="20"/>
          <w:lang w:eastAsia="sl-SI"/>
        </w:rPr>
        <w:t xml:space="preserve">Več kot polovica evropskih regij, ki preidejo s premoga na čiste vire energije, lahko ustvari več delovnih mest, kot jih imajo zdaj v premogovništvu, je pokazala študija Skupnega raziskovalnega središča (JRC) pri Evropski komisiji. Naredili so jo potem, ko je Evropska komisija objavila Evropski zeleni dogovor in Mehanizem za pravičen prehod, ki je predviden predvsem za pomoč regijam, ki so zdaj odvisne od premoga. </w:t>
      </w:r>
    </w:p>
    <w:p w:rsidR="009535FF" w:rsidRPr="009535FF" w:rsidRDefault="009535FF" w:rsidP="009535FF">
      <w:pPr>
        <w:spacing w:before="57" w:after="57" w:line="240" w:lineRule="auto"/>
        <w:jc w:val="both"/>
        <w:rPr>
          <w:rFonts w:ascii="Arial" w:eastAsia="Times New Roman" w:hAnsi="Arial" w:cs="Arial"/>
          <w:sz w:val="20"/>
          <w:szCs w:val="20"/>
          <w:lang w:eastAsia="sl-SI"/>
        </w:rPr>
      </w:pPr>
    </w:p>
    <w:p w:rsidR="00311D03" w:rsidRPr="00311D03" w:rsidRDefault="00311D03" w:rsidP="009535FF">
      <w:pPr>
        <w:spacing w:before="57" w:after="57" w:line="240" w:lineRule="auto"/>
        <w:jc w:val="both"/>
        <w:rPr>
          <w:rFonts w:ascii="Arial" w:eastAsia="Times New Roman" w:hAnsi="Arial" w:cs="Arial"/>
          <w:sz w:val="20"/>
          <w:szCs w:val="20"/>
          <w:lang w:eastAsia="sl-SI"/>
        </w:rPr>
      </w:pPr>
      <w:r w:rsidRPr="00311D03">
        <w:rPr>
          <w:rFonts w:ascii="Arial" w:eastAsia="Times New Roman" w:hAnsi="Arial" w:cs="Arial"/>
          <w:sz w:val="20"/>
          <w:szCs w:val="20"/>
          <w:lang w:eastAsia="sl-SI"/>
        </w:rPr>
        <w:t>Raziskovalci JRC ugotavljajo, da te regije lahko z uvedbo tehnologij za izrabo obnovljivih virov energije ustvarijo do 315 tisoč delovnih mest do leta 2030 in do 460 tisoč delovnih mest do leta 2050. Zdaj je na področju premogovništva v EU zaposlenih 200 tisoč ljudi.</w:t>
      </w:r>
    </w:p>
    <w:p w:rsidR="009535FF" w:rsidRPr="009535FF" w:rsidRDefault="009535FF" w:rsidP="009535FF">
      <w:pPr>
        <w:spacing w:before="57" w:after="57" w:line="240" w:lineRule="auto"/>
        <w:jc w:val="both"/>
        <w:rPr>
          <w:rFonts w:ascii="Arial" w:eastAsia="Times New Roman" w:hAnsi="Arial" w:cs="Arial"/>
          <w:sz w:val="20"/>
          <w:szCs w:val="20"/>
          <w:lang w:eastAsia="sl-SI"/>
        </w:rPr>
      </w:pPr>
    </w:p>
    <w:p w:rsidR="00311D03" w:rsidRPr="00311D03" w:rsidRDefault="00311D03" w:rsidP="009535FF">
      <w:pPr>
        <w:spacing w:before="57" w:after="57" w:line="240" w:lineRule="auto"/>
        <w:jc w:val="both"/>
        <w:rPr>
          <w:rFonts w:ascii="Arial" w:eastAsia="Times New Roman" w:hAnsi="Arial" w:cs="Arial"/>
          <w:sz w:val="20"/>
          <w:szCs w:val="20"/>
          <w:lang w:eastAsia="sl-SI"/>
        </w:rPr>
      </w:pPr>
      <w:r w:rsidRPr="00311D03">
        <w:rPr>
          <w:rFonts w:ascii="Arial" w:eastAsia="Times New Roman" w:hAnsi="Arial" w:cs="Arial"/>
          <w:sz w:val="20"/>
          <w:szCs w:val="20"/>
          <w:lang w:eastAsia="sl-SI"/>
        </w:rPr>
        <w:t>Premogovne regije bodo vse možnosti lahko izkoristile le, če bo zagotovljeno tesno sodelovanje na vseh ravneh od EU do nacionalne, regionalne in lokalne, potrebno bo tudi vključiti vse deležnike, ki so podjetja, regulatorji, vlagatelji, načrtovalce rabe prostora in lokalne skupnosti.</w:t>
      </w:r>
    </w:p>
    <w:p w:rsidR="009535FF" w:rsidRPr="009535FF" w:rsidRDefault="009535FF" w:rsidP="009535FF">
      <w:pPr>
        <w:spacing w:before="57" w:after="57" w:line="240" w:lineRule="auto"/>
        <w:jc w:val="both"/>
        <w:rPr>
          <w:rFonts w:ascii="Arial" w:eastAsia="Times New Roman" w:hAnsi="Arial" w:cs="Arial"/>
          <w:b/>
          <w:bCs/>
          <w:sz w:val="20"/>
          <w:szCs w:val="20"/>
          <w:lang w:eastAsia="sl-SI"/>
        </w:rPr>
      </w:pPr>
    </w:p>
    <w:p w:rsidR="00311D03" w:rsidRPr="00311D03" w:rsidRDefault="00311D03" w:rsidP="009535FF">
      <w:pPr>
        <w:spacing w:before="57" w:after="57" w:line="240" w:lineRule="auto"/>
        <w:jc w:val="both"/>
        <w:rPr>
          <w:rFonts w:ascii="Arial" w:eastAsia="Times New Roman" w:hAnsi="Arial" w:cs="Arial"/>
          <w:sz w:val="20"/>
          <w:szCs w:val="20"/>
          <w:lang w:eastAsia="sl-SI"/>
        </w:rPr>
      </w:pPr>
      <w:r w:rsidRPr="00311D03">
        <w:rPr>
          <w:rFonts w:ascii="Arial" w:eastAsia="Times New Roman" w:hAnsi="Arial" w:cs="Arial"/>
          <w:b/>
          <w:bCs/>
          <w:sz w:val="20"/>
          <w:szCs w:val="20"/>
          <w:lang w:eastAsia="sl-SI"/>
        </w:rPr>
        <w:t>Koristne informacije:</w:t>
      </w:r>
    </w:p>
    <w:p w:rsidR="00311D03" w:rsidRPr="00311D03" w:rsidRDefault="00311D03" w:rsidP="009535FF">
      <w:pPr>
        <w:numPr>
          <w:ilvl w:val="0"/>
          <w:numId w:val="1"/>
        </w:numPr>
        <w:spacing w:before="57" w:after="57" w:line="240" w:lineRule="auto"/>
        <w:jc w:val="both"/>
        <w:rPr>
          <w:rFonts w:ascii="Arial" w:eastAsia="Times New Roman" w:hAnsi="Arial" w:cs="Arial"/>
          <w:sz w:val="20"/>
          <w:szCs w:val="20"/>
          <w:lang w:eastAsia="sl-SI"/>
        </w:rPr>
      </w:pPr>
      <w:r w:rsidRPr="00311D03">
        <w:rPr>
          <w:rFonts w:ascii="Arial" w:eastAsia="Times New Roman" w:hAnsi="Arial" w:cs="Arial"/>
          <w:sz w:val="20"/>
          <w:szCs w:val="20"/>
          <w:lang w:eastAsia="sl-SI"/>
        </w:rPr>
        <w:t>Poročilo:</w:t>
      </w:r>
    </w:p>
    <w:p w:rsidR="009535FF" w:rsidRPr="009535FF" w:rsidRDefault="009535FF" w:rsidP="009535FF">
      <w:pPr>
        <w:numPr>
          <w:ilvl w:val="0"/>
          <w:numId w:val="1"/>
        </w:numPr>
        <w:spacing w:before="57" w:after="57" w:line="240" w:lineRule="auto"/>
        <w:jc w:val="both"/>
        <w:rPr>
          <w:rFonts w:ascii="Arial" w:eastAsia="Times New Roman" w:hAnsi="Arial" w:cs="Arial"/>
          <w:sz w:val="20"/>
          <w:szCs w:val="20"/>
          <w:lang w:eastAsia="sl-SI"/>
        </w:rPr>
      </w:pPr>
      <w:hyperlink r:id="rId6" w:history="1">
        <w:r w:rsidRPr="009535FF">
          <w:rPr>
            <w:rStyle w:val="Hiperpovezava"/>
            <w:rFonts w:ascii="Arial" w:hAnsi="Arial" w:cs="Arial"/>
            <w:sz w:val="20"/>
            <w:szCs w:val="20"/>
          </w:rPr>
          <w:t>https://ec.europa.eu/jrc/en/publication/eur-scientific-and-technical-research-reports/clean-energy-technologies-coal-regions</w:t>
        </w:r>
      </w:hyperlink>
    </w:p>
    <w:p w:rsidR="00311D03" w:rsidRPr="00311D03" w:rsidRDefault="00311D03" w:rsidP="009535FF">
      <w:pPr>
        <w:numPr>
          <w:ilvl w:val="0"/>
          <w:numId w:val="1"/>
        </w:numPr>
        <w:spacing w:before="57" w:after="57" w:line="240" w:lineRule="auto"/>
        <w:jc w:val="both"/>
        <w:rPr>
          <w:rFonts w:ascii="Arial" w:eastAsia="Times New Roman" w:hAnsi="Arial" w:cs="Arial"/>
          <w:sz w:val="20"/>
          <w:szCs w:val="20"/>
          <w:lang w:eastAsia="sl-SI"/>
        </w:rPr>
      </w:pPr>
      <w:r w:rsidRPr="00311D03">
        <w:rPr>
          <w:rFonts w:ascii="Arial" w:eastAsia="Times New Roman" w:hAnsi="Arial" w:cs="Arial"/>
          <w:sz w:val="20"/>
          <w:szCs w:val="20"/>
          <w:lang w:eastAsia="sl-SI"/>
        </w:rPr>
        <w:t>Evropski zeleni dogovor:</w:t>
      </w:r>
    </w:p>
    <w:p w:rsidR="009535FF" w:rsidRPr="009535FF" w:rsidRDefault="009535FF" w:rsidP="009535FF">
      <w:pPr>
        <w:numPr>
          <w:ilvl w:val="0"/>
          <w:numId w:val="1"/>
        </w:numPr>
        <w:spacing w:before="57" w:after="57" w:line="240" w:lineRule="auto"/>
        <w:jc w:val="both"/>
        <w:rPr>
          <w:rFonts w:ascii="Arial" w:eastAsia="Times New Roman" w:hAnsi="Arial" w:cs="Arial"/>
          <w:sz w:val="20"/>
          <w:szCs w:val="20"/>
          <w:lang w:eastAsia="sl-SI"/>
        </w:rPr>
      </w:pPr>
      <w:hyperlink r:id="rId7" w:history="1">
        <w:r w:rsidRPr="009535FF">
          <w:rPr>
            <w:rStyle w:val="Hiperpovezava"/>
            <w:rFonts w:ascii="Arial" w:hAnsi="Arial" w:cs="Arial"/>
            <w:sz w:val="20"/>
            <w:szCs w:val="20"/>
          </w:rPr>
          <w:t>https://ec.europa.eu/info/strategy/priorities-2019-2024/european-green-deal_sl</w:t>
        </w:r>
      </w:hyperlink>
    </w:p>
    <w:p w:rsidR="00311D03" w:rsidRPr="00311D03" w:rsidRDefault="00311D03" w:rsidP="009535FF">
      <w:pPr>
        <w:numPr>
          <w:ilvl w:val="0"/>
          <w:numId w:val="1"/>
        </w:numPr>
        <w:spacing w:before="57" w:after="57" w:line="240" w:lineRule="auto"/>
        <w:jc w:val="both"/>
        <w:rPr>
          <w:rFonts w:ascii="Arial" w:eastAsia="Times New Roman" w:hAnsi="Arial" w:cs="Arial"/>
          <w:sz w:val="20"/>
          <w:szCs w:val="20"/>
          <w:lang w:eastAsia="sl-SI"/>
        </w:rPr>
      </w:pPr>
      <w:r w:rsidRPr="00311D03">
        <w:rPr>
          <w:rFonts w:ascii="Arial" w:eastAsia="Times New Roman" w:hAnsi="Arial" w:cs="Arial"/>
          <w:sz w:val="20"/>
          <w:szCs w:val="20"/>
          <w:lang w:eastAsia="sl-SI"/>
        </w:rPr>
        <w:t>Mehanizem za pravični prehod:</w:t>
      </w:r>
    </w:p>
    <w:p w:rsidR="009535FF" w:rsidRPr="009535FF" w:rsidRDefault="009535FF" w:rsidP="009535FF">
      <w:pPr>
        <w:spacing w:before="57" w:after="57" w:line="240" w:lineRule="auto"/>
        <w:jc w:val="both"/>
        <w:rPr>
          <w:rFonts w:ascii="Arial" w:hAnsi="Arial" w:cs="Arial"/>
          <w:sz w:val="20"/>
          <w:szCs w:val="20"/>
        </w:rPr>
      </w:pPr>
      <w:hyperlink r:id="rId8" w:history="1">
        <w:r w:rsidRPr="009535FF">
          <w:rPr>
            <w:rStyle w:val="Hiperpovezava"/>
            <w:rFonts w:ascii="Arial" w:hAnsi="Arial" w:cs="Arial"/>
            <w:sz w:val="20"/>
            <w:szCs w:val="20"/>
          </w:rPr>
          <w:t>https://ec.europa.eu/slovenia/news/financing-the-green-transition_sl</w:t>
        </w:r>
      </w:hyperlink>
    </w:p>
    <w:p w:rsidR="009535FF" w:rsidRPr="009535FF" w:rsidRDefault="009535FF" w:rsidP="009535FF">
      <w:pPr>
        <w:spacing w:before="57" w:after="57" w:line="240" w:lineRule="auto"/>
        <w:jc w:val="both"/>
        <w:rPr>
          <w:rFonts w:ascii="Arial" w:hAnsi="Arial" w:cs="Arial"/>
          <w:sz w:val="20"/>
          <w:szCs w:val="20"/>
        </w:rPr>
      </w:pPr>
    </w:p>
    <w:p w:rsidR="00311D03" w:rsidRPr="00311D03" w:rsidRDefault="00311D03" w:rsidP="009535FF">
      <w:pPr>
        <w:spacing w:before="57" w:after="57" w:line="240" w:lineRule="auto"/>
        <w:jc w:val="both"/>
        <w:rPr>
          <w:rFonts w:ascii="Arial" w:eastAsia="Times New Roman" w:hAnsi="Arial" w:cs="Arial"/>
          <w:sz w:val="20"/>
          <w:szCs w:val="20"/>
          <w:lang w:eastAsia="sl-SI"/>
        </w:rPr>
      </w:pPr>
      <w:r w:rsidRPr="00311D03">
        <w:rPr>
          <w:rFonts w:ascii="Arial" w:eastAsia="Times New Roman" w:hAnsi="Arial" w:cs="Arial"/>
          <w:sz w:val="20"/>
          <w:szCs w:val="20"/>
          <w:lang w:eastAsia="sl-SI"/>
        </w:rPr>
        <w:t>Pripravila:</w:t>
      </w:r>
    </w:p>
    <w:p w:rsidR="00311D03" w:rsidRPr="00311D03" w:rsidRDefault="00311D03" w:rsidP="009535FF">
      <w:pPr>
        <w:spacing w:before="57" w:after="57" w:line="240" w:lineRule="auto"/>
        <w:jc w:val="both"/>
        <w:rPr>
          <w:rFonts w:ascii="Arial" w:eastAsia="Times New Roman" w:hAnsi="Arial" w:cs="Arial"/>
          <w:sz w:val="20"/>
          <w:szCs w:val="20"/>
          <w:lang w:eastAsia="sl-SI"/>
        </w:rPr>
      </w:pPr>
      <w:r w:rsidRPr="00311D03">
        <w:rPr>
          <w:rFonts w:ascii="Arial" w:eastAsia="Times New Roman" w:hAnsi="Arial" w:cs="Arial"/>
          <w:sz w:val="20"/>
          <w:szCs w:val="20"/>
          <w:lang w:eastAsia="sl-SI"/>
        </w:rPr>
        <w:t>Darja Kocbek</w:t>
      </w:r>
    </w:p>
    <w:p w:rsidR="00311D03" w:rsidRPr="00311D03" w:rsidRDefault="00311D03" w:rsidP="00311D03">
      <w:pPr>
        <w:spacing w:after="0" w:line="240" w:lineRule="auto"/>
        <w:rPr>
          <w:rFonts w:ascii="Times New Roman" w:eastAsia="Times New Roman" w:hAnsi="Times New Roman" w:cs="Times New Roman"/>
          <w:sz w:val="24"/>
          <w:szCs w:val="24"/>
          <w:lang w:eastAsia="sl-SI"/>
        </w:rPr>
      </w:pPr>
    </w:p>
    <w:p w:rsidR="00B02D87" w:rsidRDefault="00B02D87"/>
    <w:sectPr w:rsidR="00B02D87" w:rsidSect="00B02D8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C6521B3"/>
    <w:multiLevelType w:val="multilevel"/>
    <w:tmpl w:val="F8DC9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311D03"/>
    <w:rsid w:val="00311D03"/>
    <w:rsid w:val="009535FF"/>
    <w:rsid w:val="00B02D87"/>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B02D87"/>
  </w:style>
  <w:style w:type="paragraph" w:styleId="Naslov2">
    <w:name w:val="heading 2"/>
    <w:basedOn w:val="Navaden"/>
    <w:next w:val="Navaden"/>
    <w:link w:val="Naslov2Znak"/>
    <w:uiPriority w:val="9"/>
    <w:semiHidden/>
    <w:unhideWhenUsed/>
    <w:qFormat/>
    <w:rsid w:val="009535F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yiv0939443471ydp2bfdcd6dwestern">
    <w:name w:val="yiv0939443471ydp2bfdcd6dwestern"/>
    <w:basedOn w:val="Navaden"/>
    <w:rsid w:val="00311D03"/>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Hiperpovezava">
    <w:name w:val="Hyperlink"/>
    <w:basedOn w:val="Privzetapisavaodstavka"/>
    <w:uiPriority w:val="99"/>
    <w:semiHidden/>
    <w:unhideWhenUsed/>
    <w:rsid w:val="009535FF"/>
    <w:rPr>
      <w:color w:val="0000FF"/>
      <w:u w:val="single"/>
    </w:rPr>
  </w:style>
  <w:style w:type="character" w:customStyle="1" w:styleId="Naslov2Znak">
    <w:name w:val="Naslov 2 Znak"/>
    <w:basedOn w:val="Privzetapisavaodstavka"/>
    <w:link w:val="Naslov2"/>
    <w:uiPriority w:val="9"/>
    <w:semiHidden/>
    <w:rsid w:val="009535FF"/>
    <w:rPr>
      <w:rFonts w:asciiTheme="majorHAnsi" w:eastAsiaTheme="majorEastAsia" w:hAnsiTheme="majorHAnsi" w:cstheme="majorBidi"/>
      <w:b/>
      <w:bCs/>
      <w:color w:val="4F81BD" w:themeColor="accent1"/>
      <w:sz w:val="26"/>
      <w:szCs w:val="26"/>
    </w:rPr>
  </w:style>
  <w:style w:type="paragraph" w:styleId="Besedilooblaka">
    <w:name w:val="Balloon Text"/>
    <w:basedOn w:val="Navaden"/>
    <w:link w:val="BesedilooblakaZnak"/>
    <w:uiPriority w:val="99"/>
    <w:semiHidden/>
    <w:unhideWhenUsed/>
    <w:rsid w:val="009535FF"/>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9535F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42082811">
      <w:bodyDiv w:val="1"/>
      <w:marLeft w:val="0"/>
      <w:marRight w:val="0"/>
      <w:marTop w:val="0"/>
      <w:marBottom w:val="0"/>
      <w:divBdr>
        <w:top w:val="none" w:sz="0" w:space="0" w:color="auto"/>
        <w:left w:val="none" w:sz="0" w:space="0" w:color="auto"/>
        <w:bottom w:val="none" w:sz="0" w:space="0" w:color="auto"/>
        <w:right w:val="none" w:sz="0" w:space="0" w:color="auto"/>
      </w:divBdr>
      <w:divsChild>
        <w:div w:id="1302466258">
          <w:marLeft w:val="0"/>
          <w:marRight w:val="0"/>
          <w:marTop w:val="0"/>
          <w:marBottom w:val="0"/>
          <w:divBdr>
            <w:top w:val="none" w:sz="0" w:space="0" w:color="auto"/>
            <w:left w:val="none" w:sz="0" w:space="0" w:color="auto"/>
            <w:bottom w:val="none" w:sz="0" w:space="0" w:color="auto"/>
            <w:right w:val="none" w:sz="0" w:space="0" w:color="auto"/>
          </w:divBdr>
        </w:div>
        <w:div w:id="2622282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c.europa.eu/slovenia/news/financing-the-green-transition_sl" TargetMode="External"/><Relationship Id="rId3" Type="http://schemas.openxmlformats.org/officeDocument/2006/relationships/settings" Target="settings.xml"/><Relationship Id="rId7" Type="http://schemas.openxmlformats.org/officeDocument/2006/relationships/hyperlink" Target="https://ec.europa.eu/info/strategy/priorities-2019-2024/european-green-deal_s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c.europa.eu/jrc/en/publication/eur-scientific-and-technical-research-reports/clean-energy-technologies-coal-regions"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282</Words>
  <Characters>1614</Characters>
  <Application>Microsoft Office Word</Application>
  <DocSecurity>0</DocSecurity>
  <Lines>13</Lines>
  <Paragraphs>3</Paragraphs>
  <ScaleCrop>false</ScaleCrop>
  <Company/>
  <LinksUpToDate>false</LinksUpToDate>
  <CharactersWithSpaces>1893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 sistema Windows</dc:creator>
  <cp:lastModifiedBy>Uporabnik sistema Windows</cp:lastModifiedBy>
  <cp:revision>2</cp:revision>
  <dcterms:created xsi:type="dcterms:W3CDTF">2020-01-30T14:53:00Z</dcterms:created>
  <dcterms:modified xsi:type="dcterms:W3CDTF">2020-01-30T14:58:00Z</dcterms:modified>
</cp:coreProperties>
</file>