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036" w:rsidRDefault="002D2036" w:rsidP="002D2036">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D2036" w:rsidRDefault="002D2036" w:rsidP="002D2036">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2D2036" w:rsidRDefault="002D2036" w:rsidP="002D2036">
      <w:pPr>
        <w:pBdr>
          <w:bottom w:val="single" w:sz="6" w:space="1" w:color="auto"/>
        </w:pBdr>
        <w:tabs>
          <w:tab w:val="left" w:pos="3120"/>
        </w:tabs>
        <w:jc w:val="center"/>
        <w:rPr>
          <w:sz w:val="16"/>
          <w:szCs w:val="16"/>
        </w:rPr>
      </w:pPr>
    </w:p>
    <w:p w:rsidR="002D2036" w:rsidRDefault="002D2036" w:rsidP="002D2036">
      <w:pPr>
        <w:tabs>
          <w:tab w:val="left" w:pos="3120"/>
        </w:tabs>
        <w:jc w:val="center"/>
        <w:rPr>
          <w:rFonts w:cs="Arial"/>
          <w:b/>
        </w:rPr>
      </w:pPr>
      <w:r>
        <w:rPr>
          <w:rFonts w:cs="Arial"/>
          <w:b/>
        </w:rPr>
        <w:t>Občasna informacija članom 169 – 2016</w:t>
      </w:r>
    </w:p>
    <w:p w:rsidR="002D2036" w:rsidRPr="009A2F0F" w:rsidRDefault="002D2036" w:rsidP="002D2036">
      <w:pPr>
        <w:tabs>
          <w:tab w:val="left" w:pos="3120"/>
        </w:tabs>
        <w:jc w:val="center"/>
        <w:rPr>
          <w:rFonts w:cs="Arial"/>
          <w:b/>
        </w:rPr>
      </w:pPr>
      <w:r>
        <w:rPr>
          <w:rFonts w:cs="Arial"/>
          <w:b/>
        </w:rPr>
        <w:t>28. november 2016</w:t>
      </w:r>
    </w:p>
    <w:p w:rsidR="002D2036" w:rsidRPr="002D2036" w:rsidRDefault="002D2036" w:rsidP="002D2036">
      <w:pPr>
        <w:jc w:val="center"/>
        <w:rPr>
          <w:rFonts w:ascii="Arial" w:hAnsi="Arial" w:cs="Arial"/>
          <w:b/>
          <w:i/>
        </w:rPr>
      </w:pPr>
      <w:r>
        <w:rPr>
          <w:rFonts w:ascii="Arial" w:hAnsi="Arial" w:cs="Arial"/>
          <w:b/>
          <w:color w:val="993300"/>
          <w:sz w:val="32"/>
          <w:szCs w:val="32"/>
        </w:rPr>
        <w:t>Sveženj ukrepov za podporo zagonskim podjetjem</w:t>
      </w:r>
    </w:p>
    <w:p w:rsidR="00B459D4" w:rsidRPr="000A06F8" w:rsidRDefault="00423571">
      <w:pPr>
        <w:rPr>
          <w:rFonts w:ascii="Arial" w:hAnsi="Arial" w:cs="Arial"/>
          <w:b/>
          <w:i/>
        </w:rPr>
      </w:pPr>
      <w:r w:rsidRPr="000A06F8">
        <w:rPr>
          <w:rFonts w:ascii="Arial" w:hAnsi="Arial" w:cs="Arial"/>
          <w:b/>
          <w:bCs/>
          <w:i/>
        </w:rPr>
        <w:t>Evropska komisija</w:t>
      </w:r>
      <w:r w:rsidRPr="000A06F8">
        <w:rPr>
          <w:rFonts w:ascii="Arial" w:hAnsi="Arial" w:cs="Arial"/>
          <w:b/>
          <w:i/>
        </w:rPr>
        <w:t xml:space="preserve"> je predstavila sveženj ukrepov v podporo </w:t>
      </w:r>
      <w:r w:rsidRPr="000A06F8">
        <w:rPr>
          <w:rFonts w:ascii="Arial" w:hAnsi="Arial" w:cs="Arial"/>
          <w:b/>
          <w:bCs/>
          <w:i/>
        </w:rPr>
        <w:t>zagonskim podjetjem v EU</w:t>
      </w:r>
      <w:r w:rsidRPr="000A06F8">
        <w:rPr>
          <w:rFonts w:ascii="Arial" w:hAnsi="Arial" w:cs="Arial"/>
          <w:b/>
          <w:i/>
        </w:rPr>
        <w:t xml:space="preserve">. </w:t>
      </w:r>
      <w:r w:rsidR="000A06F8">
        <w:rPr>
          <w:rFonts w:ascii="Arial" w:hAnsi="Arial" w:cs="Arial"/>
          <w:b/>
          <w:i/>
        </w:rPr>
        <w:t>Osred</w:t>
      </w:r>
      <w:r w:rsidRPr="000A06F8">
        <w:rPr>
          <w:rFonts w:ascii="Arial" w:hAnsi="Arial" w:cs="Arial"/>
          <w:b/>
          <w:i/>
        </w:rPr>
        <w:t xml:space="preserve">otočila se je na  odpravljanje treh glavnih ovir pri zagonu podjetij in njihovem širjenju v Evropi, ki so jih deležniki izpostavili v okviru nedavnega javnega posvetovanja. Te ovire so </w:t>
      </w:r>
      <w:r w:rsidRPr="000A06F8">
        <w:rPr>
          <w:rFonts w:ascii="Arial" w:hAnsi="Arial" w:cs="Arial"/>
          <w:b/>
          <w:bCs/>
          <w:i/>
        </w:rPr>
        <w:t>dostop do financiranja, zahtevno izpolnjevanje  administrativnih zahtev</w:t>
      </w:r>
      <w:r w:rsidR="000A06F8">
        <w:rPr>
          <w:rFonts w:ascii="Arial" w:hAnsi="Arial" w:cs="Arial"/>
          <w:b/>
          <w:bCs/>
          <w:i/>
        </w:rPr>
        <w:t>, zahtev regulatorjev</w:t>
      </w:r>
      <w:r w:rsidRPr="000A06F8">
        <w:rPr>
          <w:rFonts w:ascii="Arial" w:hAnsi="Arial" w:cs="Arial"/>
          <w:b/>
          <w:bCs/>
          <w:i/>
        </w:rPr>
        <w:t xml:space="preserve"> ter povezanost s pravimi poslovnimi partnerji, trgi in kvalificiranimi delavci. Komisija v pobudi </w:t>
      </w:r>
      <w:r w:rsidRPr="000A06F8">
        <w:rPr>
          <w:rFonts w:ascii="Arial" w:hAnsi="Arial" w:cs="Arial"/>
          <w:b/>
          <w:i/>
        </w:rPr>
        <w:t>združila vse možnosti, ki jih EU za pomoč zagonskim podjetjem že ponuja.</w:t>
      </w:r>
    </w:p>
    <w:p w:rsidR="00423571" w:rsidRPr="000A06F8" w:rsidRDefault="00423571">
      <w:pPr>
        <w:rPr>
          <w:rFonts w:ascii="Arial" w:hAnsi="Arial" w:cs="Arial"/>
          <w:sz w:val="20"/>
          <w:szCs w:val="20"/>
        </w:rPr>
      </w:pPr>
      <w:r w:rsidRPr="000A06F8">
        <w:rPr>
          <w:rFonts w:ascii="Arial" w:hAnsi="Arial" w:cs="Arial"/>
          <w:sz w:val="20"/>
          <w:szCs w:val="20"/>
        </w:rPr>
        <w:t>Možnosti za dostop do financiranja zagonskih podjetij namerava Komisija skupaj z Evropsko investicijsko banko (EIB) izboljšati z vzpostavitvijo vseevropskega sklada tveganega kapitala. EU bo zagotovila temeljne naložbe s proračunom do 400 milijonov evrov, upravljavec skladov pa mora zbrati še vsaj trikrat toliko sredstev iz zasebnih virov ter tako privabiti naložbe tveganega kapitala v vrednosti vsaj 1,6 milijarde evrov. S tem skladom namerava dopolniti obstoječe instrumente financiranja EU, kot so Evropski sklad za strateške naložbe (EFSI), evropski program COSME za mala in srednja podjetja ter program EU za financiranje raziskav in inovacij Obzorje 2020.</w:t>
      </w:r>
    </w:p>
    <w:p w:rsidR="00781BD6" w:rsidRPr="000A06F8" w:rsidRDefault="00423571">
      <w:pPr>
        <w:rPr>
          <w:rFonts w:ascii="Arial" w:hAnsi="Arial" w:cs="Arial"/>
          <w:sz w:val="20"/>
          <w:szCs w:val="20"/>
        </w:rPr>
      </w:pPr>
      <w:r w:rsidRPr="000A06F8">
        <w:rPr>
          <w:rStyle w:val="Krepko"/>
          <w:rFonts w:ascii="Arial" w:hAnsi="Arial" w:cs="Arial"/>
          <w:b w:val="0"/>
          <w:sz w:val="20"/>
          <w:szCs w:val="20"/>
        </w:rPr>
        <w:t>Za poenostavitev davčnih napovedi</w:t>
      </w:r>
      <w:r w:rsidRPr="000A06F8">
        <w:rPr>
          <w:rStyle w:val="Krepko"/>
          <w:rFonts w:ascii="Arial" w:hAnsi="Arial" w:cs="Arial"/>
          <w:sz w:val="20"/>
          <w:szCs w:val="20"/>
        </w:rPr>
        <w:t xml:space="preserve"> </w:t>
      </w:r>
      <w:r w:rsidRPr="000A06F8">
        <w:rPr>
          <w:rFonts w:ascii="Arial" w:hAnsi="Arial" w:cs="Arial"/>
          <w:sz w:val="20"/>
          <w:szCs w:val="20"/>
        </w:rPr>
        <w:t xml:space="preserve">Komisija obljublja davčne poenostavitve. </w:t>
      </w:r>
      <w:r w:rsidR="00781BD6" w:rsidRPr="000A06F8">
        <w:rPr>
          <w:rFonts w:ascii="Arial" w:hAnsi="Arial" w:cs="Arial"/>
          <w:sz w:val="20"/>
          <w:szCs w:val="20"/>
        </w:rPr>
        <w:t xml:space="preserve">Spremembe programa Obzorje 2020 naj bi po razlagi Evropske komisije utrle pot k vzpostavitvi evropskega sveta za inovacije in vključujejo porabo 1,6 milijarde evrov v obdobju 2018–2020 za podporo »od spodaj navzgor« za prodorne inovacijske projekte podjetij s potencialom za rast. Okrepiti namerava mrežo </w:t>
      </w:r>
      <w:proofErr w:type="spellStart"/>
      <w:r w:rsidR="00781BD6" w:rsidRPr="000A06F8">
        <w:rPr>
          <w:rFonts w:ascii="Arial" w:hAnsi="Arial" w:cs="Arial"/>
          <w:sz w:val="20"/>
          <w:szCs w:val="20"/>
        </w:rPr>
        <w:t>Startup</w:t>
      </w:r>
      <w:proofErr w:type="spellEnd"/>
      <w:r w:rsidR="00781BD6" w:rsidRPr="000A06F8">
        <w:rPr>
          <w:rFonts w:ascii="Arial" w:hAnsi="Arial" w:cs="Arial"/>
          <w:sz w:val="20"/>
          <w:szCs w:val="20"/>
        </w:rPr>
        <w:t xml:space="preserve"> </w:t>
      </w:r>
      <w:proofErr w:type="spellStart"/>
      <w:r w:rsidR="00781BD6" w:rsidRPr="000A06F8">
        <w:rPr>
          <w:rFonts w:ascii="Arial" w:hAnsi="Arial" w:cs="Arial"/>
          <w:sz w:val="20"/>
          <w:szCs w:val="20"/>
        </w:rPr>
        <w:t>Europe</w:t>
      </w:r>
      <w:proofErr w:type="spellEnd"/>
      <w:r w:rsidR="00781BD6" w:rsidRPr="000A06F8">
        <w:rPr>
          <w:rFonts w:ascii="Arial" w:hAnsi="Arial" w:cs="Arial"/>
          <w:sz w:val="20"/>
          <w:szCs w:val="20"/>
        </w:rPr>
        <w:t xml:space="preserve">, da bo povezala grozde in ekosisteme po vsej Evropi. </w:t>
      </w:r>
    </w:p>
    <w:p w:rsidR="00423571" w:rsidRPr="000A06F8" w:rsidRDefault="00781BD6">
      <w:pPr>
        <w:rPr>
          <w:rFonts w:ascii="Arial" w:hAnsi="Arial" w:cs="Arial"/>
          <w:sz w:val="20"/>
          <w:szCs w:val="20"/>
        </w:rPr>
      </w:pPr>
      <w:r w:rsidRPr="000A06F8">
        <w:rPr>
          <w:rFonts w:ascii="Arial" w:hAnsi="Arial" w:cs="Arial"/>
          <w:sz w:val="20"/>
          <w:szCs w:val="20"/>
        </w:rPr>
        <w:t xml:space="preserve">V letu 2017 namerava predstaviti predloge za enotni digitalni portal za preprost spletni dostop do informacij o enotnem trgu, postopkov, pomoči in svetovanja za državljane in podjetja. </w:t>
      </w:r>
    </w:p>
    <w:p w:rsidR="00781BD6" w:rsidRPr="000A06F8" w:rsidRDefault="00781BD6">
      <w:pPr>
        <w:rPr>
          <w:rFonts w:ascii="Arial" w:hAnsi="Arial" w:cs="Arial"/>
          <w:b/>
          <w:sz w:val="20"/>
          <w:szCs w:val="20"/>
        </w:rPr>
      </w:pPr>
      <w:r w:rsidRPr="000A06F8">
        <w:rPr>
          <w:rFonts w:ascii="Arial" w:hAnsi="Arial" w:cs="Arial"/>
          <w:b/>
          <w:sz w:val="20"/>
          <w:szCs w:val="20"/>
        </w:rPr>
        <w:t>Koristne informacije:</w:t>
      </w:r>
    </w:p>
    <w:p w:rsidR="00781BD6" w:rsidRPr="000A06F8" w:rsidRDefault="00781BD6" w:rsidP="000A06F8">
      <w:pPr>
        <w:pStyle w:val="Odstavekseznama"/>
        <w:numPr>
          <w:ilvl w:val="0"/>
          <w:numId w:val="1"/>
        </w:numPr>
        <w:rPr>
          <w:rFonts w:ascii="Arial" w:hAnsi="Arial" w:cs="Arial"/>
          <w:sz w:val="20"/>
          <w:szCs w:val="20"/>
        </w:rPr>
      </w:pPr>
      <w:r w:rsidRPr="000A06F8">
        <w:rPr>
          <w:rFonts w:ascii="Arial" w:hAnsi="Arial" w:cs="Arial"/>
          <w:sz w:val="20"/>
          <w:szCs w:val="20"/>
        </w:rPr>
        <w:t>Dostop do financiranja za zagonska podjetja – financiranje EU in naložbe tveganega kapitala:</w:t>
      </w:r>
    </w:p>
    <w:p w:rsidR="00781BD6" w:rsidRPr="000A06F8" w:rsidRDefault="00F84676" w:rsidP="000A06F8">
      <w:pPr>
        <w:pStyle w:val="Odstavekseznama"/>
        <w:numPr>
          <w:ilvl w:val="0"/>
          <w:numId w:val="1"/>
        </w:numPr>
        <w:rPr>
          <w:rFonts w:ascii="Arial" w:hAnsi="Arial" w:cs="Arial"/>
          <w:sz w:val="20"/>
          <w:szCs w:val="20"/>
        </w:rPr>
      </w:pPr>
      <w:hyperlink r:id="rId6" w:history="1">
        <w:r w:rsidRPr="000A06F8">
          <w:rPr>
            <w:rStyle w:val="Hiperpovezava"/>
            <w:rFonts w:ascii="Arial" w:hAnsi="Arial" w:cs="Arial"/>
            <w:sz w:val="20"/>
            <w:szCs w:val="20"/>
          </w:rPr>
          <w:t>http://ec.europa.eu/DocsRoom/documents/20221</w:t>
        </w:r>
      </w:hyperlink>
    </w:p>
    <w:p w:rsidR="00F84676" w:rsidRPr="000A06F8" w:rsidRDefault="00F84676" w:rsidP="000A06F8">
      <w:pPr>
        <w:pStyle w:val="Odstavekseznama"/>
        <w:numPr>
          <w:ilvl w:val="0"/>
          <w:numId w:val="1"/>
        </w:numPr>
        <w:rPr>
          <w:rFonts w:ascii="Arial" w:hAnsi="Arial" w:cs="Arial"/>
          <w:sz w:val="20"/>
          <w:szCs w:val="20"/>
        </w:rPr>
      </w:pPr>
      <w:r w:rsidRPr="000A06F8">
        <w:rPr>
          <w:rFonts w:ascii="Arial" w:hAnsi="Arial" w:cs="Arial"/>
          <w:sz w:val="20"/>
          <w:szCs w:val="20"/>
        </w:rPr>
        <w:t>Podporni okvir za pravice intelektualne lastnine za majhna in srednja ter zagonska podjetja:</w:t>
      </w:r>
    </w:p>
    <w:p w:rsidR="00F84676" w:rsidRPr="000A06F8" w:rsidRDefault="00F84676" w:rsidP="000A06F8">
      <w:pPr>
        <w:pStyle w:val="Odstavekseznama"/>
        <w:numPr>
          <w:ilvl w:val="0"/>
          <w:numId w:val="1"/>
        </w:numPr>
        <w:rPr>
          <w:rFonts w:ascii="Arial" w:hAnsi="Arial" w:cs="Arial"/>
          <w:sz w:val="20"/>
          <w:szCs w:val="20"/>
        </w:rPr>
      </w:pPr>
      <w:hyperlink r:id="rId7" w:history="1">
        <w:r w:rsidRPr="000A06F8">
          <w:rPr>
            <w:rStyle w:val="Hiperpovezava"/>
            <w:rFonts w:ascii="Arial" w:hAnsi="Arial" w:cs="Arial"/>
            <w:sz w:val="20"/>
            <w:szCs w:val="20"/>
          </w:rPr>
          <w:t>Podporni okvir za pravice intelektualne lastnine za MSP in zagonska podjetja</w:t>
        </w:r>
      </w:hyperlink>
    </w:p>
    <w:p w:rsidR="00F84676" w:rsidRPr="000A06F8" w:rsidRDefault="00F84676" w:rsidP="000A06F8">
      <w:pPr>
        <w:pStyle w:val="Odstavekseznama"/>
        <w:numPr>
          <w:ilvl w:val="0"/>
          <w:numId w:val="1"/>
        </w:numPr>
        <w:rPr>
          <w:rFonts w:ascii="Arial" w:hAnsi="Arial" w:cs="Arial"/>
          <w:sz w:val="20"/>
          <w:szCs w:val="20"/>
        </w:rPr>
      </w:pPr>
      <w:hyperlink r:id="rId8" w:history="1">
        <w:r w:rsidRPr="000A06F8">
          <w:rPr>
            <w:rStyle w:val="Hiperpovezava"/>
            <w:rFonts w:ascii="Arial" w:hAnsi="Arial" w:cs="Arial"/>
            <w:sz w:val="20"/>
            <w:szCs w:val="20"/>
          </w:rPr>
          <w:t>http://ec.europa.eu/DocsRoom/documents/20203</w:t>
        </w:r>
      </w:hyperlink>
    </w:p>
    <w:p w:rsidR="00F84676" w:rsidRPr="000A06F8" w:rsidRDefault="00F84676" w:rsidP="000A06F8">
      <w:pPr>
        <w:pStyle w:val="Odstavekseznama"/>
        <w:numPr>
          <w:ilvl w:val="0"/>
          <w:numId w:val="1"/>
        </w:numPr>
        <w:rPr>
          <w:rFonts w:ascii="Arial" w:hAnsi="Arial" w:cs="Arial"/>
          <w:sz w:val="20"/>
          <w:szCs w:val="20"/>
        </w:rPr>
      </w:pPr>
      <w:r w:rsidRPr="000A06F8">
        <w:rPr>
          <w:rFonts w:ascii="Arial" w:hAnsi="Arial" w:cs="Arial"/>
          <w:sz w:val="20"/>
          <w:szCs w:val="20"/>
        </w:rPr>
        <w:t>Pobuda za zagon in razširitev podjetij:</w:t>
      </w:r>
    </w:p>
    <w:p w:rsidR="00F84676" w:rsidRPr="000A06F8" w:rsidRDefault="00F84676" w:rsidP="000A06F8">
      <w:pPr>
        <w:pStyle w:val="Odstavekseznama"/>
        <w:numPr>
          <w:ilvl w:val="0"/>
          <w:numId w:val="1"/>
        </w:numPr>
        <w:rPr>
          <w:rFonts w:ascii="Arial" w:hAnsi="Arial" w:cs="Arial"/>
          <w:sz w:val="20"/>
          <w:szCs w:val="20"/>
        </w:rPr>
      </w:pPr>
      <w:hyperlink r:id="rId9" w:history="1">
        <w:r w:rsidRPr="000A06F8">
          <w:rPr>
            <w:rStyle w:val="Hiperpovezava"/>
            <w:rFonts w:ascii="Arial" w:hAnsi="Arial" w:cs="Arial"/>
            <w:sz w:val="20"/>
            <w:szCs w:val="20"/>
          </w:rPr>
          <w:t>http://ec.europa.eu/DocsRoom/documents/20201</w:t>
        </w:r>
      </w:hyperlink>
    </w:p>
    <w:p w:rsidR="00F84676" w:rsidRPr="000A06F8" w:rsidRDefault="00F84676" w:rsidP="000A06F8">
      <w:pPr>
        <w:pStyle w:val="Odstavekseznama"/>
        <w:numPr>
          <w:ilvl w:val="0"/>
          <w:numId w:val="1"/>
        </w:numPr>
        <w:rPr>
          <w:rFonts w:ascii="Arial" w:hAnsi="Arial" w:cs="Arial"/>
          <w:sz w:val="20"/>
          <w:szCs w:val="20"/>
        </w:rPr>
      </w:pPr>
      <w:r w:rsidRPr="000A06F8">
        <w:rPr>
          <w:rFonts w:ascii="Arial" w:hAnsi="Arial" w:cs="Arial"/>
          <w:sz w:val="20"/>
          <w:szCs w:val="20"/>
        </w:rPr>
        <w:t>Spletna stran z rezultati javnega posvetovanja o pobudi za zagonska podjetja:</w:t>
      </w:r>
    </w:p>
    <w:p w:rsidR="00F84676" w:rsidRPr="000A06F8" w:rsidRDefault="00F84676" w:rsidP="000A06F8">
      <w:pPr>
        <w:pStyle w:val="Odstavekseznama"/>
        <w:numPr>
          <w:ilvl w:val="0"/>
          <w:numId w:val="1"/>
        </w:numPr>
        <w:rPr>
          <w:rFonts w:ascii="Arial" w:hAnsi="Arial" w:cs="Arial"/>
          <w:sz w:val="20"/>
          <w:szCs w:val="20"/>
        </w:rPr>
      </w:pPr>
      <w:hyperlink r:id="rId10" w:history="1">
        <w:r w:rsidRPr="000A06F8">
          <w:rPr>
            <w:rStyle w:val="Hiperpovezava"/>
            <w:rFonts w:ascii="Arial" w:hAnsi="Arial" w:cs="Arial"/>
            <w:sz w:val="20"/>
            <w:szCs w:val="20"/>
          </w:rPr>
          <w:t>http://ec.europa.eu/growth/tools-databases/newsroom/cf/itemdetail.cfm?item_id=8723</w:t>
        </w:r>
      </w:hyperlink>
    </w:p>
    <w:p w:rsidR="00F84676" w:rsidRPr="000A06F8" w:rsidRDefault="00F84676">
      <w:pPr>
        <w:rPr>
          <w:rFonts w:ascii="Arial" w:hAnsi="Arial" w:cs="Arial"/>
          <w:sz w:val="20"/>
          <w:szCs w:val="20"/>
        </w:rPr>
      </w:pPr>
      <w:r w:rsidRPr="000A06F8">
        <w:rPr>
          <w:rFonts w:ascii="Arial" w:hAnsi="Arial" w:cs="Arial"/>
          <w:sz w:val="20"/>
          <w:szCs w:val="20"/>
        </w:rPr>
        <w:t>Pripravila:</w:t>
      </w:r>
      <w:r w:rsidR="002D2036">
        <w:rPr>
          <w:rFonts w:ascii="Arial" w:hAnsi="Arial" w:cs="Arial"/>
          <w:sz w:val="20"/>
          <w:szCs w:val="20"/>
        </w:rPr>
        <w:t xml:space="preserve"> </w:t>
      </w:r>
      <w:r w:rsidRPr="000A06F8">
        <w:rPr>
          <w:rFonts w:ascii="Arial" w:hAnsi="Arial" w:cs="Arial"/>
          <w:sz w:val="20"/>
          <w:szCs w:val="20"/>
        </w:rPr>
        <w:t>Darja Kocbek</w:t>
      </w:r>
    </w:p>
    <w:sectPr w:rsidR="00F84676" w:rsidRPr="000A06F8"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2986"/>
    <w:multiLevelType w:val="hybridMultilevel"/>
    <w:tmpl w:val="6F2088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3571"/>
    <w:rsid w:val="0004633E"/>
    <w:rsid w:val="000A06F8"/>
    <w:rsid w:val="002D2036"/>
    <w:rsid w:val="00423571"/>
    <w:rsid w:val="00781BD6"/>
    <w:rsid w:val="00897304"/>
    <w:rsid w:val="00B459D4"/>
    <w:rsid w:val="00F8467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2D2036"/>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23571"/>
    <w:rPr>
      <w:color w:val="0000FF"/>
      <w:u w:val="single"/>
    </w:rPr>
  </w:style>
  <w:style w:type="character" w:styleId="Krepko">
    <w:name w:val="Strong"/>
    <w:basedOn w:val="Privzetapisavaodstavka"/>
    <w:uiPriority w:val="22"/>
    <w:qFormat/>
    <w:rsid w:val="00423571"/>
    <w:rPr>
      <w:b/>
      <w:bCs/>
    </w:rPr>
  </w:style>
  <w:style w:type="paragraph" w:styleId="Odstavekseznama">
    <w:name w:val="List Paragraph"/>
    <w:basedOn w:val="Navaden"/>
    <w:uiPriority w:val="34"/>
    <w:qFormat/>
    <w:rsid w:val="000A06F8"/>
    <w:pPr>
      <w:ind w:left="720"/>
      <w:contextualSpacing/>
    </w:pPr>
  </w:style>
  <w:style w:type="character" w:customStyle="1" w:styleId="Naslov2Znak">
    <w:name w:val="Naslov 2 Znak"/>
    <w:basedOn w:val="Privzetapisavaodstavka"/>
    <w:link w:val="Naslov2"/>
    <w:rsid w:val="002D2036"/>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2D2036"/>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D20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DocsRoom/documents/20203" TargetMode="External"/><Relationship Id="rId3" Type="http://schemas.openxmlformats.org/officeDocument/2006/relationships/settings" Target="settings.xml"/><Relationship Id="rId7" Type="http://schemas.openxmlformats.org/officeDocument/2006/relationships/hyperlink" Target="http://ec.europa.eu/DocsRoom/documents/202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DocsRoom/documents/2022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ec.europa.eu/growth/tools-databases/newsroom/cf/itemdetail.cfm?item_id=8723" TargetMode="External"/><Relationship Id="rId4" Type="http://schemas.openxmlformats.org/officeDocument/2006/relationships/webSettings" Target="webSettings.xml"/><Relationship Id="rId9" Type="http://schemas.openxmlformats.org/officeDocument/2006/relationships/hyperlink" Target="http://ec.europa.eu/DocsRoom/documents/2020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446</Words>
  <Characters>2545</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2016-11-22T16:25:00Z</dcterms:created>
  <dcterms:modified xsi:type="dcterms:W3CDTF">2016-11-22T16:50:00Z</dcterms:modified>
</cp:coreProperties>
</file>