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461" w:rsidRDefault="00A31461" w:rsidP="00A31461">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31461" w:rsidRDefault="00A31461" w:rsidP="00A31461">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A31461" w:rsidRDefault="00A31461" w:rsidP="00A31461">
      <w:pPr>
        <w:pBdr>
          <w:bottom w:val="single" w:sz="6" w:space="1" w:color="auto"/>
        </w:pBdr>
        <w:tabs>
          <w:tab w:val="left" w:pos="3120"/>
        </w:tabs>
        <w:jc w:val="center"/>
        <w:rPr>
          <w:sz w:val="16"/>
          <w:szCs w:val="16"/>
        </w:rPr>
      </w:pPr>
    </w:p>
    <w:p w:rsidR="00A31461" w:rsidRDefault="00A31461" w:rsidP="00A31461">
      <w:pPr>
        <w:tabs>
          <w:tab w:val="left" w:pos="3120"/>
        </w:tabs>
        <w:jc w:val="center"/>
        <w:rPr>
          <w:rFonts w:cs="Arial"/>
          <w:b/>
        </w:rPr>
      </w:pPr>
      <w:r>
        <w:rPr>
          <w:rFonts w:cs="Arial"/>
          <w:b/>
        </w:rPr>
        <w:t>Občasna informacija članom 168 – 2016</w:t>
      </w:r>
    </w:p>
    <w:p w:rsidR="00A31461" w:rsidRPr="009A2F0F" w:rsidRDefault="00A31461" w:rsidP="00A31461">
      <w:pPr>
        <w:tabs>
          <w:tab w:val="left" w:pos="3120"/>
        </w:tabs>
        <w:jc w:val="center"/>
        <w:rPr>
          <w:rFonts w:cs="Arial"/>
          <w:b/>
        </w:rPr>
      </w:pPr>
      <w:r>
        <w:rPr>
          <w:rFonts w:cs="Arial"/>
          <w:b/>
        </w:rPr>
        <w:t>28. november 2016</w:t>
      </w:r>
    </w:p>
    <w:p w:rsidR="00A31461" w:rsidRDefault="00A31461" w:rsidP="00A31461">
      <w:pPr>
        <w:jc w:val="center"/>
        <w:rPr>
          <w:rFonts w:ascii="Arial" w:hAnsi="Arial" w:cs="Arial"/>
          <w:b/>
          <w:i/>
        </w:rPr>
      </w:pPr>
      <w:r>
        <w:rPr>
          <w:rFonts w:ascii="Arial" w:hAnsi="Arial" w:cs="Arial"/>
          <w:b/>
          <w:color w:val="993300"/>
          <w:sz w:val="32"/>
          <w:szCs w:val="32"/>
        </w:rPr>
        <w:t>Predlog evropskih pravil o insolventnosti podjetij</w:t>
      </w:r>
    </w:p>
    <w:p w:rsidR="00B459D4" w:rsidRPr="00684CBE" w:rsidRDefault="0042606D" w:rsidP="0042606D">
      <w:pPr>
        <w:rPr>
          <w:rFonts w:ascii="Arial" w:hAnsi="Arial" w:cs="Arial"/>
          <w:i/>
        </w:rPr>
      </w:pPr>
      <w:r w:rsidRPr="00760A60">
        <w:rPr>
          <w:rFonts w:ascii="Arial" w:hAnsi="Arial" w:cs="Arial"/>
          <w:b/>
          <w:i/>
        </w:rPr>
        <w:t xml:space="preserve">Evropska komisija je predstavila predlog evropskih pravil o insolventnosti podjetij, katerih bistvo so spodbude za zgodnje prestrukturiranje, ki družbam omogoči, da se izognejo stečaju in odpuščanju podjetij. Predlagana direktiva se osredotoča na tri glavne elemente. To so skupna načela za </w:t>
      </w:r>
      <w:r w:rsidRPr="00760A60">
        <w:rPr>
          <w:rStyle w:val="Krepko"/>
          <w:rFonts w:ascii="Arial" w:hAnsi="Arial" w:cs="Arial"/>
          <w:i/>
        </w:rPr>
        <w:t>uporabo okvirov zgodnjega prestrukturiranja</w:t>
      </w:r>
      <w:r w:rsidRPr="00684CBE">
        <w:rPr>
          <w:rStyle w:val="Krepko"/>
          <w:rFonts w:ascii="Arial" w:hAnsi="Arial" w:cs="Arial"/>
          <w:i/>
        </w:rPr>
        <w:t>,</w:t>
      </w:r>
      <w:r w:rsidRPr="00760A60">
        <w:rPr>
          <w:rStyle w:val="Krepko"/>
          <w:rFonts w:ascii="Arial" w:hAnsi="Arial" w:cs="Arial"/>
          <w:b w:val="0"/>
          <w:i/>
        </w:rPr>
        <w:t xml:space="preserve"> </w:t>
      </w:r>
      <w:r w:rsidRPr="00760A60">
        <w:rPr>
          <w:rFonts w:ascii="Arial" w:hAnsi="Arial" w:cs="Arial"/>
          <w:b/>
          <w:i/>
        </w:rPr>
        <w:t xml:space="preserve">pravila, na podlagi katerih bodo lahko </w:t>
      </w:r>
      <w:r w:rsidRPr="00684CBE">
        <w:rPr>
          <w:rStyle w:val="Krepko"/>
          <w:rFonts w:ascii="Arial" w:hAnsi="Arial" w:cs="Arial"/>
          <w:i/>
        </w:rPr>
        <w:t>podjetniki dobili drugo priložnost, in</w:t>
      </w:r>
      <w:r w:rsidRPr="00760A60">
        <w:rPr>
          <w:rStyle w:val="Krepko"/>
          <w:rFonts w:ascii="Arial" w:hAnsi="Arial" w:cs="Arial"/>
          <w:b w:val="0"/>
          <w:i/>
        </w:rPr>
        <w:t xml:space="preserve"> </w:t>
      </w:r>
      <w:r w:rsidRPr="00760A60">
        <w:rPr>
          <w:rFonts w:ascii="Arial" w:hAnsi="Arial" w:cs="Arial"/>
          <w:b/>
          <w:i/>
        </w:rPr>
        <w:t xml:space="preserve">ukrepi za države članice za </w:t>
      </w:r>
      <w:r w:rsidRPr="00684CBE">
        <w:rPr>
          <w:rStyle w:val="Krepko"/>
          <w:rFonts w:ascii="Arial" w:hAnsi="Arial" w:cs="Arial"/>
          <w:i/>
        </w:rPr>
        <w:t>povečanje učinkovitosti postopkov insolventnosti</w:t>
      </w:r>
      <w:r w:rsidRPr="00684CBE">
        <w:rPr>
          <w:rFonts w:ascii="Arial" w:hAnsi="Arial" w:cs="Arial"/>
          <w:i/>
        </w:rPr>
        <w:t>.</w:t>
      </w:r>
    </w:p>
    <w:p w:rsidR="0042606D" w:rsidRPr="0042606D" w:rsidRDefault="0042606D" w:rsidP="0042606D">
      <w:pPr>
        <w:pStyle w:val="Navadensplet"/>
        <w:jc w:val="both"/>
        <w:rPr>
          <w:rFonts w:ascii="Arial" w:hAnsi="Arial" w:cs="Arial"/>
          <w:sz w:val="20"/>
          <w:szCs w:val="20"/>
        </w:rPr>
      </w:pPr>
      <w:r w:rsidRPr="0042606D">
        <w:rPr>
          <w:rFonts w:ascii="Arial" w:hAnsi="Arial" w:cs="Arial"/>
          <w:sz w:val="20"/>
          <w:szCs w:val="20"/>
        </w:rPr>
        <w:t>Nova pravila, če bodo sprejeta ( predlog direktive je Evropska komisija poslala v obravnavo in sprejem Svetu EU, ki med evropskimi institucijami predstavlja države članice, in Evropskemu parlamentu ), naj bi zagotovila, da bodo družbe v finančnih težavah, zlasti mala in srednja podjetja, imele dostop do orodij za zgodnje opozarjanje za odkrivanje slabih poslovnih razmer in prestrukturiranje v zgodnji fazi.</w:t>
      </w:r>
    </w:p>
    <w:p w:rsidR="0042606D" w:rsidRPr="0042606D" w:rsidRDefault="0042606D" w:rsidP="0042606D">
      <w:pPr>
        <w:spacing w:before="100" w:beforeAutospacing="1"/>
        <w:rPr>
          <w:rFonts w:ascii="Arial" w:eastAsia="Times New Roman" w:hAnsi="Arial" w:cs="Arial"/>
          <w:sz w:val="20"/>
          <w:szCs w:val="20"/>
          <w:lang w:eastAsia="sl-SI"/>
        </w:rPr>
      </w:pPr>
      <w:r w:rsidRPr="0042606D">
        <w:rPr>
          <w:rFonts w:ascii="Arial" w:eastAsia="Times New Roman" w:hAnsi="Arial" w:cs="Arial"/>
          <w:sz w:val="20"/>
          <w:szCs w:val="20"/>
          <w:lang w:eastAsia="sl-SI"/>
        </w:rPr>
        <w:t>Okviri prožnega preventivnega prestrukturiranja naj bi omogočili poenostavitev sodnih postopkov. Dolžnik naj bi imel na voljo »manevrski prostor«, da bi olajšali pogajanja in uspešno prestrukturiranje. Manjšinski upniki in delničarji, ki se ne bodo strinjali z načrti, naj ne bi mogli preprečiti prestrukturiranja, vendar naj bi kljub temu bili njihovi legitimni interesi zaščiteni.</w:t>
      </w:r>
    </w:p>
    <w:p w:rsidR="0042606D" w:rsidRPr="0042606D" w:rsidRDefault="0042606D" w:rsidP="0042606D">
      <w:pPr>
        <w:spacing w:before="100" w:beforeAutospacing="1"/>
        <w:rPr>
          <w:rFonts w:ascii="Arial" w:eastAsia="Times New Roman" w:hAnsi="Arial" w:cs="Arial"/>
          <w:bCs/>
          <w:sz w:val="20"/>
          <w:szCs w:val="20"/>
          <w:lang w:eastAsia="sl-SI"/>
        </w:rPr>
      </w:pPr>
      <w:r w:rsidRPr="0042606D">
        <w:rPr>
          <w:rFonts w:ascii="Arial" w:eastAsia="Times New Roman" w:hAnsi="Arial" w:cs="Arial"/>
          <w:sz w:val="20"/>
          <w:szCs w:val="20"/>
          <w:lang w:eastAsia="sl-SI"/>
        </w:rPr>
        <w:t>Posebej naj bi bilo zaščiteno novo financiranje. V postopkih preventivnega prestrukturiranja naj bi delavci uživali popolno delovnopravno zaščito v skladu z obstoječo zakonodajo EU. Z usposabljanjem in specializacijo stečajnih upraviteljev in sodišč ter uporabo tehnologije (npr. z vlaganjem zahtevkov in obveščanjem upnikov prek spleta) naj bi postopki insolventnosti, prestrukturiranja in zagotavljanja druge priložnosti postali učinkovitejši in krajši.</w:t>
      </w:r>
      <w:r w:rsidRPr="0042606D">
        <w:rPr>
          <w:rFonts w:ascii="Arial" w:eastAsia="Times New Roman" w:hAnsi="Arial" w:cs="Arial"/>
          <w:bCs/>
          <w:sz w:val="20"/>
          <w:szCs w:val="20"/>
          <w:lang w:eastAsia="sl-SI"/>
        </w:rPr>
        <w:t xml:space="preserve"> </w:t>
      </w:r>
    </w:p>
    <w:p w:rsidR="0042606D" w:rsidRPr="007B5E7E" w:rsidRDefault="0042606D" w:rsidP="0042606D">
      <w:pPr>
        <w:spacing w:before="100" w:beforeAutospacing="1"/>
        <w:rPr>
          <w:rFonts w:ascii="Arial" w:eastAsia="Times New Roman" w:hAnsi="Arial" w:cs="Arial"/>
          <w:b/>
          <w:bCs/>
          <w:sz w:val="20"/>
          <w:szCs w:val="20"/>
          <w:lang w:eastAsia="sl-SI"/>
        </w:rPr>
      </w:pPr>
      <w:r w:rsidRPr="007B5E7E">
        <w:rPr>
          <w:rFonts w:ascii="Arial" w:eastAsia="Times New Roman" w:hAnsi="Arial" w:cs="Arial"/>
          <w:b/>
          <w:bCs/>
          <w:sz w:val="20"/>
          <w:szCs w:val="20"/>
          <w:lang w:eastAsia="sl-SI"/>
        </w:rPr>
        <w:t>Koristne informacije:</w:t>
      </w:r>
    </w:p>
    <w:p w:rsidR="0042606D" w:rsidRPr="007B5E7E" w:rsidRDefault="0042606D" w:rsidP="007B5E7E">
      <w:pPr>
        <w:pStyle w:val="Odstavekseznama"/>
        <w:numPr>
          <w:ilvl w:val="0"/>
          <w:numId w:val="2"/>
        </w:numPr>
        <w:spacing w:before="100" w:beforeAutospacing="1"/>
        <w:rPr>
          <w:rFonts w:ascii="Arial" w:eastAsia="Times New Roman" w:hAnsi="Arial" w:cs="Arial"/>
          <w:bCs/>
          <w:sz w:val="20"/>
          <w:szCs w:val="20"/>
          <w:lang w:eastAsia="sl-SI"/>
        </w:rPr>
      </w:pPr>
      <w:r w:rsidRPr="007B5E7E">
        <w:rPr>
          <w:rFonts w:ascii="Arial" w:eastAsia="Times New Roman" w:hAnsi="Arial" w:cs="Arial"/>
          <w:bCs/>
          <w:sz w:val="20"/>
          <w:szCs w:val="20"/>
          <w:lang w:eastAsia="sl-SI"/>
        </w:rPr>
        <w:t>Predlog direktive:</w:t>
      </w:r>
    </w:p>
    <w:p w:rsidR="0042606D" w:rsidRPr="007B5E7E" w:rsidRDefault="0042606D" w:rsidP="007B5E7E">
      <w:pPr>
        <w:pStyle w:val="Odstavekseznama"/>
        <w:numPr>
          <w:ilvl w:val="0"/>
          <w:numId w:val="2"/>
        </w:numPr>
        <w:spacing w:before="100" w:beforeAutospacing="1"/>
        <w:rPr>
          <w:rFonts w:ascii="Arial" w:eastAsia="Times New Roman" w:hAnsi="Arial" w:cs="Arial"/>
          <w:sz w:val="20"/>
          <w:szCs w:val="20"/>
          <w:lang w:eastAsia="sl-SI"/>
        </w:rPr>
      </w:pPr>
      <w:hyperlink r:id="rId6" w:history="1">
        <w:r w:rsidRPr="007B5E7E">
          <w:rPr>
            <w:rStyle w:val="Hiperpovezava"/>
            <w:rFonts w:ascii="Arial" w:eastAsia="Times New Roman" w:hAnsi="Arial" w:cs="Arial"/>
            <w:sz w:val="20"/>
            <w:szCs w:val="20"/>
            <w:lang w:eastAsia="sl-SI"/>
          </w:rPr>
          <w:t>http://ec.europa.eu/information_society/newsroom/image/document/2016-48/proposal_40046.pdf</w:t>
        </w:r>
      </w:hyperlink>
    </w:p>
    <w:p w:rsidR="0042606D" w:rsidRPr="0042606D" w:rsidRDefault="0042606D" w:rsidP="0042606D">
      <w:pPr>
        <w:spacing w:before="100" w:beforeAutospacing="1"/>
        <w:rPr>
          <w:rFonts w:ascii="Arial" w:eastAsia="Times New Roman" w:hAnsi="Arial" w:cs="Arial"/>
          <w:sz w:val="20"/>
          <w:szCs w:val="20"/>
          <w:lang w:eastAsia="sl-SI"/>
        </w:rPr>
      </w:pPr>
      <w:r w:rsidRPr="0042606D">
        <w:rPr>
          <w:rFonts w:ascii="Arial" w:eastAsia="Times New Roman" w:hAnsi="Arial" w:cs="Arial"/>
          <w:sz w:val="20"/>
          <w:szCs w:val="20"/>
          <w:lang w:eastAsia="sl-SI"/>
        </w:rPr>
        <w:t>Pripravila:</w:t>
      </w:r>
    </w:p>
    <w:p w:rsidR="0042606D" w:rsidRPr="0042606D" w:rsidRDefault="0042606D" w:rsidP="0042606D">
      <w:pPr>
        <w:spacing w:before="100" w:beforeAutospacing="1"/>
        <w:rPr>
          <w:rFonts w:ascii="Arial" w:eastAsia="Times New Roman" w:hAnsi="Arial" w:cs="Arial"/>
          <w:sz w:val="20"/>
          <w:szCs w:val="20"/>
          <w:lang w:eastAsia="sl-SI"/>
        </w:rPr>
      </w:pPr>
      <w:r w:rsidRPr="0042606D">
        <w:rPr>
          <w:rFonts w:ascii="Arial" w:eastAsia="Times New Roman" w:hAnsi="Arial" w:cs="Arial"/>
          <w:sz w:val="20"/>
          <w:szCs w:val="20"/>
          <w:lang w:eastAsia="sl-SI"/>
        </w:rPr>
        <w:t>Darja Kocbek</w:t>
      </w:r>
    </w:p>
    <w:p w:rsidR="0042606D" w:rsidRDefault="0042606D"/>
    <w:sectPr w:rsidR="0042606D"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E3786"/>
    <w:multiLevelType w:val="hybridMultilevel"/>
    <w:tmpl w:val="79ECBE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6E4E7FCF"/>
    <w:multiLevelType w:val="multilevel"/>
    <w:tmpl w:val="F324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606D"/>
    <w:rsid w:val="0004633E"/>
    <w:rsid w:val="0042606D"/>
    <w:rsid w:val="00684CBE"/>
    <w:rsid w:val="00760A60"/>
    <w:rsid w:val="007B5E7E"/>
    <w:rsid w:val="00A31461"/>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A31461"/>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42606D"/>
    <w:rPr>
      <w:b/>
      <w:bCs/>
    </w:rPr>
  </w:style>
  <w:style w:type="paragraph" w:styleId="Navadensplet">
    <w:name w:val="Normal (Web)"/>
    <w:basedOn w:val="Navaden"/>
    <w:uiPriority w:val="99"/>
    <w:unhideWhenUsed/>
    <w:rsid w:val="0042606D"/>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42606D"/>
    <w:rPr>
      <w:color w:val="0000FF" w:themeColor="hyperlink"/>
      <w:u w:val="single"/>
    </w:rPr>
  </w:style>
  <w:style w:type="paragraph" w:styleId="Odstavekseznama">
    <w:name w:val="List Paragraph"/>
    <w:basedOn w:val="Navaden"/>
    <w:uiPriority w:val="34"/>
    <w:qFormat/>
    <w:rsid w:val="007B5E7E"/>
    <w:pPr>
      <w:ind w:left="720"/>
      <w:contextualSpacing/>
    </w:pPr>
  </w:style>
  <w:style w:type="character" w:customStyle="1" w:styleId="Naslov2Znak">
    <w:name w:val="Naslov 2 Znak"/>
    <w:basedOn w:val="Privzetapisavaodstavka"/>
    <w:link w:val="Naslov2"/>
    <w:rsid w:val="00A31461"/>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A31461"/>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314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955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information_society/newsroom/image/document/2016-48/proposal_40046.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324</Words>
  <Characters>1850</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2016-11-22T16:08:00Z</dcterms:created>
  <dcterms:modified xsi:type="dcterms:W3CDTF">2016-11-22T16:23:00Z</dcterms:modified>
</cp:coreProperties>
</file>