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8B0A4" w14:textId="77777777" w:rsidR="009F01CB" w:rsidRPr="00467345" w:rsidRDefault="009F01CB" w:rsidP="009F01CB">
      <w:pPr>
        <w:tabs>
          <w:tab w:val="left" w:pos="2520"/>
          <w:tab w:val="left" w:pos="2700"/>
          <w:tab w:val="left" w:pos="3120"/>
        </w:tabs>
        <w:spacing w:before="240"/>
        <w:jc w:val="center"/>
      </w:pPr>
      <w:r w:rsidRPr="00083714">
        <w:rPr>
          <w:noProof/>
          <w:lang w:eastAsia="sl-SI"/>
        </w:rPr>
        <w:drawing>
          <wp:inline distT="0" distB="0" distL="0" distR="0" wp14:anchorId="37F430A4" wp14:editId="2DFAD76D">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3C7D557A" w14:textId="77777777" w:rsidR="009F01CB" w:rsidRPr="00301C78" w:rsidRDefault="009F01CB" w:rsidP="009F01CB">
      <w:pPr>
        <w:pStyle w:val="Heading2"/>
        <w:tabs>
          <w:tab w:val="left" w:pos="3120"/>
        </w:tabs>
        <w:spacing w:before="0"/>
        <w:jc w:val="center"/>
        <w:rPr>
          <w:sz w:val="22"/>
        </w:rPr>
      </w:pPr>
      <w:r w:rsidRPr="00083714">
        <w:rPr>
          <w:sz w:val="22"/>
        </w:rPr>
        <w:t>Slovensko gospodarsko in raziskovalno združenje, Bruselj</w:t>
      </w:r>
    </w:p>
    <w:p w14:paraId="2F44F141" w14:textId="77777777" w:rsidR="009F01CB" w:rsidRPr="00083714" w:rsidRDefault="009F01CB" w:rsidP="009F01CB">
      <w:pPr>
        <w:pBdr>
          <w:bottom w:val="single" w:sz="6" w:space="1" w:color="auto"/>
        </w:pBdr>
        <w:tabs>
          <w:tab w:val="left" w:pos="3120"/>
        </w:tabs>
        <w:spacing w:before="240"/>
        <w:rPr>
          <w:sz w:val="16"/>
          <w:szCs w:val="16"/>
        </w:rPr>
      </w:pPr>
    </w:p>
    <w:p w14:paraId="02E80C7B" w14:textId="77777777" w:rsidR="009F01CB" w:rsidRDefault="009F01CB" w:rsidP="009F01CB">
      <w:pPr>
        <w:tabs>
          <w:tab w:val="left" w:pos="3120"/>
        </w:tabs>
        <w:spacing w:before="240"/>
        <w:jc w:val="center"/>
        <w:rPr>
          <w:b/>
        </w:rPr>
      </w:pPr>
      <w:r>
        <w:rPr>
          <w:b/>
        </w:rPr>
        <w:t xml:space="preserve">Občasna informacija članom 167 </w:t>
      </w:r>
      <w:r w:rsidRPr="00083714">
        <w:rPr>
          <w:b/>
        </w:rPr>
        <w:t>– 20</w:t>
      </w:r>
      <w:r>
        <w:rPr>
          <w:b/>
        </w:rPr>
        <w:t>23</w:t>
      </w:r>
    </w:p>
    <w:p w14:paraId="1B337133" w14:textId="77777777" w:rsidR="009F01CB" w:rsidRDefault="009F01CB" w:rsidP="009F01CB">
      <w:pPr>
        <w:tabs>
          <w:tab w:val="left" w:pos="3120"/>
        </w:tabs>
        <w:spacing w:before="240"/>
        <w:jc w:val="center"/>
        <w:rPr>
          <w:b/>
        </w:rPr>
      </w:pPr>
      <w:r>
        <w:rPr>
          <w:b/>
        </w:rPr>
        <w:t xml:space="preserve">23. oktober </w:t>
      </w:r>
      <w:r w:rsidRPr="00083714">
        <w:rPr>
          <w:b/>
        </w:rPr>
        <w:t xml:space="preserve"> 20</w:t>
      </w:r>
      <w:r>
        <w:rPr>
          <w:b/>
        </w:rPr>
        <w:t>23</w:t>
      </w:r>
    </w:p>
    <w:p w14:paraId="1F8A72F2" w14:textId="77777777" w:rsidR="00BF2C4D" w:rsidRDefault="009F01CB" w:rsidP="00535974">
      <w:pPr>
        <w:jc w:val="center"/>
        <w:rPr>
          <w:rFonts w:ascii="Arial" w:hAnsi="Arial" w:cs="Arial"/>
          <w:b/>
          <w:i/>
        </w:rPr>
      </w:pPr>
      <w:r>
        <w:rPr>
          <w:rFonts w:ascii="Arial" w:hAnsi="Arial"/>
          <w:b/>
          <w:color w:val="993300"/>
          <w:sz w:val="32"/>
          <w:szCs w:val="32"/>
        </w:rPr>
        <w:t xml:space="preserve">Do 31. oktobra je še čas za oddajo prijave za </w:t>
      </w:r>
      <w:r w:rsidR="00535974">
        <w:rPr>
          <w:rFonts w:ascii="Arial" w:hAnsi="Arial"/>
          <w:b/>
          <w:color w:val="993300"/>
          <w:sz w:val="32"/>
          <w:szCs w:val="32"/>
        </w:rPr>
        <w:t>tehnično podporo na področju reform v okviru dveh novih projektov</w:t>
      </w:r>
    </w:p>
    <w:p w14:paraId="07881564" w14:textId="0AA942CC" w:rsidR="00AA4047" w:rsidRPr="00BF2C4D" w:rsidRDefault="00D631C4" w:rsidP="00BF2C4D">
      <w:pPr>
        <w:jc w:val="both"/>
        <w:rPr>
          <w:rFonts w:ascii="Arial" w:hAnsi="Arial" w:cs="Arial"/>
          <w:b/>
          <w:i/>
        </w:rPr>
      </w:pPr>
      <w:r w:rsidRPr="00BF2C4D">
        <w:rPr>
          <w:rFonts w:ascii="Arial" w:hAnsi="Arial" w:cs="Arial"/>
          <w:b/>
          <w:i/>
        </w:rPr>
        <w:t xml:space="preserve">Evropska komisija začenja dva projekta za tehnično podporo, ki ju bo izvajala od leta 2024. Projekt Spodbujanje sistemov za razvoj znanj in spretnosti je namenjen podpori prizadevanjem držav članic na nacionalni, regionalni in lokalni ravni, da bi z reformami pospešile razvoj znanj in spretnosti. Cilj projekta Premagovanje ovir za regionalni razvoj je podpreti prizadevanja oblasti regij, ki se soočajo z omejitvami, </w:t>
      </w:r>
      <w:r w:rsidR="00BF2C4D">
        <w:rPr>
          <w:rFonts w:ascii="Arial" w:hAnsi="Arial" w:cs="Arial"/>
          <w:b/>
          <w:i/>
        </w:rPr>
        <w:t>pri</w:t>
      </w:r>
      <w:r w:rsidRPr="00BF2C4D">
        <w:rPr>
          <w:rFonts w:ascii="Arial" w:hAnsi="Arial" w:cs="Arial"/>
          <w:b/>
          <w:i/>
        </w:rPr>
        <w:t xml:space="preserve"> opredelit</w:t>
      </w:r>
      <w:r w:rsidR="00BF2C4D">
        <w:rPr>
          <w:rFonts w:ascii="Arial" w:hAnsi="Arial" w:cs="Arial"/>
          <w:b/>
          <w:i/>
        </w:rPr>
        <w:t>vi</w:t>
      </w:r>
      <w:r w:rsidRPr="00BF2C4D">
        <w:rPr>
          <w:rFonts w:ascii="Arial" w:hAnsi="Arial" w:cs="Arial"/>
          <w:b/>
          <w:i/>
        </w:rPr>
        <w:t xml:space="preserve"> in izvajanj</w:t>
      </w:r>
      <w:r w:rsidR="00BF2C4D">
        <w:rPr>
          <w:rFonts w:ascii="Arial" w:hAnsi="Arial" w:cs="Arial"/>
          <w:b/>
          <w:i/>
        </w:rPr>
        <w:t>u</w:t>
      </w:r>
      <w:r w:rsidRPr="00BF2C4D">
        <w:rPr>
          <w:rFonts w:ascii="Arial" w:hAnsi="Arial" w:cs="Arial"/>
          <w:b/>
          <w:i/>
        </w:rPr>
        <w:t xml:space="preserve"> postopkov in metodologij za reševanje razvojnih izzivov na celovit način. Rok za oddajo prijav se izteče 31. oktobra.</w:t>
      </w:r>
      <w:r w:rsidR="00BF2C4D">
        <w:rPr>
          <w:rFonts w:ascii="Arial" w:hAnsi="Arial" w:cs="Arial"/>
          <w:b/>
          <w:i/>
        </w:rPr>
        <w:t xml:space="preserve"> </w:t>
      </w:r>
    </w:p>
    <w:p w14:paraId="4969FF9E" w14:textId="77777777" w:rsidR="00B81595" w:rsidRPr="00BF2C4D" w:rsidRDefault="00401E64" w:rsidP="00BF2C4D">
      <w:pPr>
        <w:jc w:val="both"/>
        <w:rPr>
          <w:rFonts w:ascii="Arial" w:hAnsi="Arial" w:cs="Arial"/>
          <w:sz w:val="20"/>
          <w:szCs w:val="20"/>
        </w:rPr>
      </w:pPr>
      <w:r w:rsidRPr="00BF2C4D">
        <w:rPr>
          <w:rFonts w:ascii="Arial" w:hAnsi="Arial" w:cs="Arial"/>
          <w:sz w:val="20"/>
          <w:szCs w:val="20"/>
        </w:rPr>
        <w:t>Financiranje takšnih projektov zagotavlja instrument tehnične podpore (TSI). To je program prek katerega Evropska komisija državam članicam zagotavlja prilagojeno tehnično strokovno znanje za oblikovanje in izvajanje reform.</w:t>
      </w:r>
      <w:r w:rsidR="00B81595" w:rsidRPr="00BF2C4D">
        <w:rPr>
          <w:rFonts w:ascii="Arial" w:hAnsi="Arial" w:cs="Arial"/>
          <w:sz w:val="20"/>
          <w:szCs w:val="20"/>
        </w:rPr>
        <w:t xml:space="preserve"> Javni organi držav članic, ki se želijo prijaviti na enega od teh projektov, morajo to storiti prek nacionalnega organa, pristojnega za usklajevanje predložitve TSI v svoji državi.  Organi, ki želijo vzpostaviti stik s svojim nacionalnim koordinacijskim organom, se morajo obrniti na GD REFORM prek naslednjega naslova: </w:t>
      </w:r>
      <w:hyperlink r:id="rId6" w:history="1">
        <w:r w:rsidR="00B81595" w:rsidRPr="00BF2C4D">
          <w:rPr>
            <w:rStyle w:val="Hyperlink"/>
            <w:rFonts w:ascii="Arial" w:hAnsi="Arial" w:cs="Arial"/>
            <w:sz w:val="20"/>
            <w:szCs w:val="20"/>
          </w:rPr>
          <w:t>REFORM-TSI@ec.europa.eu</w:t>
        </w:r>
      </w:hyperlink>
      <w:r w:rsidR="00B81595" w:rsidRPr="00BF2C4D">
        <w:rPr>
          <w:rFonts w:ascii="Arial" w:hAnsi="Arial" w:cs="Arial"/>
          <w:sz w:val="20"/>
          <w:szCs w:val="20"/>
        </w:rPr>
        <w:t xml:space="preserve">. </w:t>
      </w:r>
    </w:p>
    <w:p w14:paraId="02803EC6" w14:textId="77777777" w:rsidR="001A2379" w:rsidRPr="00BF2C4D" w:rsidRDefault="001A2379" w:rsidP="00BF2C4D">
      <w:pPr>
        <w:jc w:val="both"/>
        <w:rPr>
          <w:rFonts w:ascii="Arial" w:hAnsi="Arial" w:cs="Arial"/>
          <w:b/>
          <w:sz w:val="20"/>
          <w:szCs w:val="20"/>
        </w:rPr>
      </w:pPr>
      <w:r w:rsidRPr="00BF2C4D">
        <w:rPr>
          <w:rFonts w:ascii="Arial" w:hAnsi="Arial" w:cs="Arial"/>
          <w:b/>
          <w:sz w:val="20"/>
          <w:szCs w:val="20"/>
        </w:rPr>
        <w:t>Projekt Spodbujanje sistemov za razvoj znanj in spretnosti</w:t>
      </w:r>
    </w:p>
    <w:p w14:paraId="0CF4D466" w14:textId="77777777" w:rsidR="00B81595" w:rsidRPr="00BF2C4D" w:rsidRDefault="00B81595" w:rsidP="00BF2C4D">
      <w:pPr>
        <w:jc w:val="both"/>
        <w:rPr>
          <w:rFonts w:ascii="Arial" w:hAnsi="Arial" w:cs="Arial"/>
          <w:b/>
          <w:sz w:val="20"/>
          <w:szCs w:val="20"/>
        </w:rPr>
      </w:pPr>
      <w:r w:rsidRPr="00BF2C4D">
        <w:rPr>
          <w:rFonts w:ascii="Arial" w:hAnsi="Arial" w:cs="Arial"/>
          <w:b/>
          <w:sz w:val="20"/>
          <w:szCs w:val="20"/>
        </w:rPr>
        <w:t>Tabela 1: Podpore, ki so na voljo v okviru projekta Spodbujanje sistemov za razvoj znanj in spretnosti</w:t>
      </w:r>
    </w:p>
    <w:tbl>
      <w:tblPr>
        <w:tblStyle w:val="TableGrid"/>
        <w:tblW w:w="0" w:type="auto"/>
        <w:tblLook w:val="04A0" w:firstRow="1" w:lastRow="0" w:firstColumn="1" w:lastColumn="0" w:noHBand="0" w:noVBand="1"/>
      </w:tblPr>
      <w:tblGrid>
        <w:gridCol w:w="9062"/>
      </w:tblGrid>
      <w:tr w:rsidR="00B81595" w:rsidRPr="00BF2C4D" w14:paraId="37A2A558" w14:textId="77777777" w:rsidTr="00B81595">
        <w:tc>
          <w:tcPr>
            <w:tcW w:w="9212" w:type="dxa"/>
          </w:tcPr>
          <w:p w14:paraId="278515D0" w14:textId="77777777" w:rsidR="00B81595" w:rsidRPr="00BF2C4D" w:rsidRDefault="00B81595" w:rsidP="00BF2C4D">
            <w:pPr>
              <w:jc w:val="both"/>
              <w:rPr>
                <w:rFonts w:ascii="Arial" w:hAnsi="Arial" w:cs="Arial"/>
                <w:b/>
                <w:sz w:val="20"/>
                <w:szCs w:val="20"/>
              </w:rPr>
            </w:pPr>
            <w:r w:rsidRPr="00BF2C4D">
              <w:rPr>
                <w:rFonts w:ascii="Arial" w:hAnsi="Arial" w:cs="Arial"/>
                <w:b/>
                <w:sz w:val="20"/>
                <w:szCs w:val="20"/>
              </w:rPr>
              <w:t xml:space="preserve">Področja, za katera je na voljo </w:t>
            </w:r>
            <w:r w:rsidR="0092785A" w:rsidRPr="00BF2C4D">
              <w:rPr>
                <w:rFonts w:ascii="Arial" w:hAnsi="Arial" w:cs="Arial"/>
                <w:b/>
                <w:sz w:val="20"/>
                <w:szCs w:val="20"/>
              </w:rPr>
              <w:t>podpora</w:t>
            </w:r>
          </w:p>
        </w:tc>
      </w:tr>
      <w:tr w:rsidR="00B81595" w:rsidRPr="00BF2C4D" w14:paraId="2D9A0310" w14:textId="77777777" w:rsidTr="00B81595">
        <w:tc>
          <w:tcPr>
            <w:tcW w:w="9212" w:type="dxa"/>
          </w:tcPr>
          <w:p w14:paraId="75ADF4EC" w14:textId="77777777" w:rsidR="00B81595" w:rsidRPr="00BF2C4D" w:rsidRDefault="0092785A" w:rsidP="00BF2C4D">
            <w:pPr>
              <w:jc w:val="both"/>
              <w:rPr>
                <w:rFonts w:ascii="Arial" w:hAnsi="Arial" w:cs="Arial"/>
                <w:sz w:val="20"/>
                <w:szCs w:val="20"/>
              </w:rPr>
            </w:pPr>
            <w:r w:rsidRPr="00BF2C4D">
              <w:rPr>
                <w:rFonts w:ascii="Arial" w:hAnsi="Arial" w:cs="Arial"/>
                <w:sz w:val="20"/>
                <w:szCs w:val="20"/>
              </w:rPr>
              <w:t>Reforme za pripravo Evropejcev na zeleno in digitalno gospodarstvo ter prilagoditev sistemov izobraževanja in usposabljanja potrebam trga dela</w:t>
            </w:r>
          </w:p>
        </w:tc>
      </w:tr>
      <w:tr w:rsidR="00B81595" w:rsidRPr="00BF2C4D" w14:paraId="6F643669" w14:textId="77777777" w:rsidTr="00B81595">
        <w:tc>
          <w:tcPr>
            <w:tcW w:w="9212" w:type="dxa"/>
          </w:tcPr>
          <w:p w14:paraId="08744413" w14:textId="77777777" w:rsidR="00B81595" w:rsidRPr="00BF2C4D" w:rsidRDefault="0092785A" w:rsidP="00BF2C4D">
            <w:pPr>
              <w:jc w:val="both"/>
              <w:rPr>
                <w:rFonts w:ascii="Arial" w:hAnsi="Arial" w:cs="Arial"/>
                <w:sz w:val="20"/>
                <w:szCs w:val="20"/>
              </w:rPr>
            </w:pPr>
            <w:r w:rsidRPr="00BF2C4D">
              <w:rPr>
                <w:rFonts w:ascii="Arial" w:hAnsi="Arial" w:cs="Arial"/>
                <w:sz w:val="20"/>
                <w:szCs w:val="20"/>
              </w:rPr>
              <w:t>Reforme za izboljšanje vključenosti in kakovosti sistemov izobraževanja in usposabljanja za zagotovitev boljših izobraževalnih rezultatov za vse učence</w:t>
            </w:r>
          </w:p>
        </w:tc>
      </w:tr>
      <w:tr w:rsidR="00B81595" w:rsidRPr="00BF2C4D" w14:paraId="71DCB2A6" w14:textId="77777777" w:rsidTr="00B81595">
        <w:tc>
          <w:tcPr>
            <w:tcW w:w="9212" w:type="dxa"/>
          </w:tcPr>
          <w:p w14:paraId="72884C1C" w14:textId="77777777" w:rsidR="00B81595" w:rsidRPr="00BF2C4D" w:rsidRDefault="0092785A" w:rsidP="00BF2C4D">
            <w:pPr>
              <w:jc w:val="both"/>
              <w:rPr>
                <w:rFonts w:ascii="Arial" w:hAnsi="Arial" w:cs="Arial"/>
                <w:sz w:val="20"/>
                <w:szCs w:val="20"/>
              </w:rPr>
            </w:pPr>
            <w:r w:rsidRPr="00BF2C4D">
              <w:rPr>
                <w:rFonts w:ascii="Arial" w:hAnsi="Arial" w:cs="Arial"/>
                <w:sz w:val="20"/>
                <w:szCs w:val="20"/>
              </w:rPr>
              <w:t xml:space="preserve">Reforme za posodobitev sistemov terciarnega izobraževanja in izboljšanje njihove ustreznosti za trg dela, s poudarkom na Izobraževanju na področju znanosti, tehnologije, inženirstva, umetnosti in matematike (STEAM) </w:t>
            </w:r>
          </w:p>
        </w:tc>
      </w:tr>
      <w:tr w:rsidR="00B81595" w:rsidRPr="00BF2C4D" w14:paraId="386D4AA6" w14:textId="77777777" w:rsidTr="00B81595">
        <w:tc>
          <w:tcPr>
            <w:tcW w:w="9212" w:type="dxa"/>
          </w:tcPr>
          <w:p w14:paraId="3ABE7A79" w14:textId="77777777" w:rsidR="00B81595" w:rsidRPr="00BF2C4D" w:rsidRDefault="0092785A" w:rsidP="00BF2C4D">
            <w:pPr>
              <w:jc w:val="both"/>
              <w:rPr>
                <w:rFonts w:ascii="Arial" w:hAnsi="Arial" w:cs="Arial"/>
                <w:sz w:val="20"/>
                <w:szCs w:val="20"/>
              </w:rPr>
            </w:pPr>
            <w:r w:rsidRPr="00BF2C4D">
              <w:rPr>
                <w:rFonts w:ascii="Arial" w:hAnsi="Arial" w:cs="Arial"/>
                <w:sz w:val="20"/>
                <w:szCs w:val="20"/>
              </w:rPr>
              <w:t>Reforme za spremljanje pomanjkanja delovne sile in znanj in spretnosti ter predvidevanje zahtev trga dela glede znanj in spretnosti ter kvalifikacij</w:t>
            </w:r>
          </w:p>
        </w:tc>
      </w:tr>
      <w:tr w:rsidR="00B81595" w:rsidRPr="00BF2C4D" w14:paraId="45BCDEA3" w14:textId="77777777" w:rsidTr="00B81595">
        <w:tc>
          <w:tcPr>
            <w:tcW w:w="9212" w:type="dxa"/>
          </w:tcPr>
          <w:p w14:paraId="53D5A236" w14:textId="77777777" w:rsidR="00B81595" w:rsidRPr="00BF2C4D" w:rsidRDefault="0092785A" w:rsidP="00BF2C4D">
            <w:pPr>
              <w:jc w:val="both"/>
              <w:rPr>
                <w:rFonts w:ascii="Arial" w:hAnsi="Arial" w:cs="Arial"/>
                <w:sz w:val="20"/>
                <w:szCs w:val="20"/>
              </w:rPr>
            </w:pPr>
            <w:r w:rsidRPr="00BF2C4D">
              <w:rPr>
                <w:rFonts w:ascii="Arial" w:hAnsi="Arial" w:cs="Arial"/>
                <w:sz w:val="20"/>
                <w:szCs w:val="20"/>
              </w:rPr>
              <w:t>Reforme za večjo zadržanost zaposlenih, izvajanje programov za privabljanje talentov in odpravljanje pomanjkanja znanj in spretnosti</w:t>
            </w:r>
          </w:p>
        </w:tc>
      </w:tr>
    </w:tbl>
    <w:p w14:paraId="35B42F67" w14:textId="77777777" w:rsidR="00AA4047" w:rsidRDefault="00AA4047" w:rsidP="00BF2C4D">
      <w:pPr>
        <w:jc w:val="both"/>
        <w:rPr>
          <w:rFonts w:ascii="Arial" w:hAnsi="Arial" w:cs="Arial"/>
          <w:sz w:val="20"/>
          <w:szCs w:val="20"/>
        </w:rPr>
      </w:pPr>
    </w:p>
    <w:p w14:paraId="54FA90BF" w14:textId="2114CAC8" w:rsidR="0092785A" w:rsidRPr="00BF2C4D" w:rsidRDefault="00725D98" w:rsidP="00BF2C4D">
      <w:pPr>
        <w:jc w:val="both"/>
        <w:rPr>
          <w:rFonts w:ascii="Arial" w:hAnsi="Arial" w:cs="Arial"/>
          <w:b/>
          <w:sz w:val="20"/>
          <w:szCs w:val="20"/>
        </w:rPr>
      </w:pPr>
      <w:r w:rsidRPr="00BF2C4D">
        <w:rPr>
          <w:rFonts w:ascii="Arial" w:hAnsi="Arial" w:cs="Arial"/>
          <w:b/>
          <w:sz w:val="20"/>
          <w:szCs w:val="20"/>
        </w:rPr>
        <w:lastRenderedPageBreak/>
        <w:t>Tabela 2: Posebni podporni ukrepi, ki bi jih lahko zagotovili v okviru vsakega od reformnih področij</w:t>
      </w:r>
    </w:p>
    <w:tbl>
      <w:tblPr>
        <w:tblStyle w:val="TableGrid"/>
        <w:tblW w:w="0" w:type="auto"/>
        <w:tblLook w:val="04A0" w:firstRow="1" w:lastRow="0" w:firstColumn="1" w:lastColumn="0" w:noHBand="0" w:noVBand="1"/>
      </w:tblPr>
      <w:tblGrid>
        <w:gridCol w:w="9062"/>
      </w:tblGrid>
      <w:tr w:rsidR="00725D98" w:rsidRPr="00BF2C4D" w14:paraId="474CBA8D" w14:textId="77777777" w:rsidTr="00725D98">
        <w:tc>
          <w:tcPr>
            <w:tcW w:w="9212" w:type="dxa"/>
          </w:tcPr>
          <w:p w14:paraId="2B8FD0DF" w14:textId="77777777" w:rsidR="00725D98" w:rsidRPr="00BF2C4D" w:rsidRDefault="00725D98" w:rsidP="00BF2C4D">
            <w:pPr>
              <w:jc w:val="both"/>
              <w:rPr>
                <w:rFonts w:ascii="Arial" w:hAnsi="Arial" w:cs="Arial"/>
                <w:b/>
                <w:sz w:val="20"/>
                <w:szCs w:val="20"/>
              </w:rPr>
            </w:pPr>
            <w:r w:rsidRPr="00BF2C4D">
              <w:rPr>
                <w:rFonts w:ascii="Arial" w:hAnsi="Arial" w:cs="Arial"/>
                <w:b/>
                <w:sz w:val="20"/>
                <w:szCs w:val="20"/>
              </w:rPr>
              <w:t>Podporni ukrepi</w:t>
            </w:r>
          </w:p>
        </w:tc>
      </w:tr>
      <w:tr w:rsidR="00725D98" w:rsidRPr="00BF2C4D" w14:paraId="68676E6A" w14:textId="77777777" w:rsidTr="00725D98">
        <w:tc>
          <w:tcPr>
            <w:tcW w:w="9212" w:type="dxa"/>
          </w:tcPr>
          <w:p w14:paraId="659D8E42" w14:textId="77777777" w:rsidR="00725D98" w:rsidRPr="00BF2C4D" w:rsidRDefault="00725D98" w:rsidP="00BF2C4D">
            <w:pPr>
              <w:jc w:val="both"/>
              <w:rPr>
                <w:rFonts w:ascii="Arial" w:hAnsi="Arial" w:cs="Arial"/>
                <w:sz w:val="20"/>
                <w:szCs w:val="20"/>
              </w:rPr>
            </w:pPr>
            <w:r w:rsidRPr="00BF2C4D">
              <w:rPr>
                <w:rFonts w:ascii="Arial" w:hAnsi="Arial" w:cs="Arial"/>
                <w:sz w:val="20"/>
                <w:szCs w:val="20"/>
              </w:rPr>
              <w:t>Oblikovanje/posodobitev učnih načrtov za poučevanje in učenje za učitelje in vodje usposabljanja</w:t>
            </w:r>
          </w:p>
        </w:tc>
      </w:tr>
      <w:tr w:rsidR="00725D98" w:rsidRPr="00BF2C4D" w14:paraId="216A8029" w14:textId="77777777" w:rsidTr="00725D98">
        <w:tc>
          <w:tcPr>
            <w:tcW w:w="9212" w:type="dxa"/>
          </w:tcPr>
          <w:p w14:paraId="6303BCAF" w14:textId="77777777" w:rsidR="00725D98" w:rsidRPr="00BF2C4D" w:rsidRDefault="00725D98" w:rsidP="00BF2C4D">
            <w:pPr>
              <w:jc w:val="both"/>
              <w:rPr>
                <w:rFonts w:ascii="Arial" w:hAnsi="Arial" w:cs="Arial"/>
                <w:sz w:val="20"/>
                <w:szCs w:val="20"/>
              </w:rPr>
            </w:pPr>
            <w:r w:rsidRPr="00BF2C4D">
              <w:rPr>
                <w:rFonts w:ascii="Arial" w:hAnsi="Arial" w:cs="Arial"/>
                <w:sz w:val="20"/>
                <w:szCs w:val="20"/>
              </w:rPr>
              <w:t>Razvoj orodij in metodologij za priznavanje in potrjevanje spretnosti in kvalifikacij</w:t>
            </w:r>
          </w:p>
        </w:tc>
      </w:tr>
      <w:tr w:rsidR="00725D98" w:rsidRPr="00BF2C4D" w14:paraId="1B137B53" w14:textId="77777777" w:rsidTr="00725D98">
        <w:tc>
          <w:tcPr>
            <w:tcW w:w="9212" w:type="dxa"/>
          </w:tcPr>
          <w:p w14:paraId="0DC35EAB" w14:textId="77777777" w:rsidR="00725D98" w:rsidRPr="00BF2C4D" w:rsidRDefault="00725D98" w:rsidP="00BF2C4D">
            <w:pPr>
              <w:jc w:val="both"/>
              <w:rPr>
                <w:rFonts w:ascii="Arial" w:hAnsi="Arial" w:cs="Arial"/>
                <w:sz w:val="20"/>
                <w:szCs w:val="20"/>
              </w:rPr>
            </w:pPr>
            <w:r w:rsidRPr="00BF2C4D">
              <w:rPr>
                <w:rFonts w:ascii="Arial" w:hAnsi="Arial" w:cs="Arial"/>
                <w:sz w:val="20"/>
                <w:szCs w:val="20"/>
              </w:rPr>
              <w:t>Opredelitev ovir, ki ovirajo razvoj zelenih in digitalnih spretnosti, ter priporočila za njihovo odpravo</w:t>
            </w:r>
          </w:p>
        </w:tc>
      </w:tr>
      <w:tr w:rsidR="00725D98" w:rsidRPr="00BF2C4D" w14:paraId="175F7E7E" w14:textId="77777777" w:rsidTr="00725D98">
        <w:tc>
          <w:tcPr>
            <w:tcW w:w="9212" w:type="dxa"/>
          </w:tcPr>
          <w:p w14:paraId="556ED147" w14:textId="77777777" w:rsidR="00725D98" w:rsidRPr="00BF2C4D" w:rsidRDefault="00725D98" w:rsidP="00BF2C4D">
            <w:pPr>
              <w:jc w:val="both"/>
              <w:rPr>
                <w:rFonts w:ascii="Arial" w:hAnsi="Arial" w:cs="Arial"/>
                <w:sz w:val="20"/>
                <w:szCs w:val="20"/>
              </w:rPr>
            </w:pPr>
            <w:r w:rsidRPr="00BF2C4D">
              <w:rPr>
                <w:rFonts w:ascii="Arial" w:hAnsi="Arial" w:cs="Arial"/>
                <w:sz w:val="20"/>
                <w:szCs w:val="20"/>
              </w:rPr>
              <w:t>Oblikovanje in izvajanje reform za zagotovitev bolje pripravljene delovne sile v posameznih industrijskih sektorjih</w:t>
            </w:r>
          </w:p>
        </w:tc>
      </w:tr>
      <w:tr w:rsidR="00725D98" w:rsidRPr="00BF2C4D" w14:paraId="013A7D19" w14:textId="77777777" w:rsidTr="00725D98">
        <w:tc>
          <w:tcPr>
            <w:tcW w:w="9212" w:type="dxa"/>
          </w:tcPr>
          <w:p w14:paraId="45845841" w14:textId="77777777" w:rsidR="00725D98" w:rsidRPr="00BF2C4D" w:rsidRDefault="00725D98" w:rsidP="00BF2C4D">
            <w:pPr>
              <w:jc w:val="both"/>
              <w:rPr>
                <w:rFonts w:ascii="Arial" w:hAnsi="Arial" w:cs="Arial"/>
                <w:sz w:val="20"/>
                <w:szCs w:val="20"/>
              </w:rPr>
            </w:pPr>
            <w:r w:rsidRPr="00BF2C4D">
              <w:rPr>
                <w:rFonts w:ascii="Arial" w:hAnsi="Arial" w:cs="Arial"/>
                <w:sz w:val="20"/>
                <w:szCs w:val="20"/>
              </w:rPr>
              <w:t>Oblikovanje in izvajanje ekosistemov znanja in spretnosti na nacionalni, regionalni ali lokalni ravni, vključno s podporo pri vzpostavljanju ali krepitvi sistemov upravljanja znanja in spretnosti</w:t>
            </w:r>
          </w:p>
        </w:tc>
      </w:tr>
      <w:tr w:rsidR="00725D98" w:rsidRPr="00BF2C4D" w14:paraId="4AE07BBE" w14:textId="77777777" w:rsidTr="00725D98">
        <w:tc>
          <w:tcPr>
            <w:tcW w:w="9212" w:type="dxa"/>
          </w:tcPr>
          <w:p w14:paraId="3BDDE67F" w14:textId="77777777" w:rsidR="00725D98" w:rsidRPr="00BF2C4D" w:rsidRDefault="00725D98" w:rsidP="00BF2C4D">
            <w:pPr>
              <w:jc w:val="both"/>
              <w:rPr>
                <w:rFonts w:ascii="Arial" w:hAnsi="Arial" w:cs="Arial"/>
                <w:sz w:val="20"/>
                <w:szCs w:val="20"/>
              </w:rPr>
            </w:pPr>
            <w:r w:rsidRPr="00BF2C4D">
              <w:rPr>
                <w:rFonts w:ascii="Arial" w:hAnsi="Arial" w:cs="Arial"/>
                <w:sz w:val="20"/>
                <w:szCs w:val="20"/>
              </w:rPr>
              <w:t>Razviti reforme politike ter nacionalne ali regionalne strategije za spodbujanje ustreznejših spretnosti v skladu s potrebami nacionalnih in regionalnih trgov dela za vse kategorije učencev, vključno z najbolj prikrajšanimi posamezniki</w:t>
            </w:r>
          </w:p>
        </w:tc>
      </w:tr>
      <w:tr w:rsidR="00725D98" w:rsidRPr="00BF2C4D" w14:paraId="6324C735" w14:textId="77777777" w:rsidTr="00725D98">
        <w:tc>
          <w:tcPr>
            <w:tcW w:w="9212" w:type="dxa"/>
          </w:tcPr>
          <w:p w14:paraId="20F7F2A7" w14:textId="77777777" w:rsidR="00725D98" w:rsidRPr="00BF2C4D" w:rsidRDefault="00725D98" w:rsidP="00BF2C4D">
            <w:pPr>
              <w:jc w:val="both"/>
              <w:rPr>
                <w:rFonts w:ascii="Arial" w:hAnsi="Arial" w:cs="Arial"/>
                <w:sz w:val="20"/>
                <w:szCs w:val="20"/>
              </w:rPr>
            </w:pPr>
            <w:r w:rsidRPr="00BF2C4D">
              <w:rPr>
                <w:rFonts w:ascii="Arial" w:hAnsi="Arial" w:cs="Arial"/>
                <w:sz w:val="20"/>
                <w:szCs w:val="20"/>
              </w:rPr>
              <w:t>Oblikovanje in izvajanje strategij in priporočil za večjo zadržanost zaposlenih, izvajanje programov za privabljanje talentov in odpravljanje pomanjkanja znanj in spretnosti</w:t>
            </w:r>
          </w:p>
        </w:tc>
      </w:tr>
    </w:tbl>
    <w:p w14:paraId="4E7CC183" w14:textId="77777777" w:rsidR="00AA4047" w:rsidRDefault="00AA4047" w:rsidP="00BF2C4D">
      <w:pPr>
        <w:jc w:val="both"/>
        <w:rPr>
          <w:rFonts w:ascii="Arial" w:hAnsi="Arial" w:cs="Arial"/>
          <w:sz w:val="20"/>
          <w:szCs w:val="20"/>
        </w:rPr>
      </w:pPr>
    </w:p>
    <w:p w14:paraId="041D53C2" w14:textId="187152A8" w:rsidR="001A2379" w:rsidRPr="00BF2C4D" w:rsidRDefault="001A2379" w:rsidP="00BF2C4D">
      <w:pPr>
        <w:jc w:val="both"/>
        <w:rPr>
          <w:rFonts w:ascii="Arial" w:hAnsi="Arial" w:cs="Arial"/>
          <w:b/>
          <w:sz w:val="20"/>
          <w:szCs w:val="20"/>
        </w:rPr>
      </w:pPr>
      <w:r w:rsidRPr="00BF2C4D">
        <w:rPr>
          <w:rFonts w:ascii="Arial" w:hAnsi="Arial" w:cs="Arial"/>
          <w:b/>
          <w:sz w:val="20"/>
          <w:szCs w:val="20"/>
        </w:rPr>
        <w:t>Projekt Premagovanje ovir za regionalni razvoj</w:t>
      </w:r>
    </w:p>
    <w:p w14:paraId="7422F737" w14:textId="77777777" w:rsidR="00813380" w:rsidRPr="00BF2C4D" w:rsidRDefault="00813380" w:rsidP="00BF2C4D">
      <w:pPr>
        <w:jc w:val="both"/>
        <w:rPr>
          <w:rFonts w:ascii="Arial" w:hAnsi="Arial" w:cs="Arial"/>
          <w:b/>
          <w:sz w:val="20"/>
          <w:szCs w:val="20"/>
        </w:rPr>
      </w:pPr>
      <w:r w:rsidRPr="00BF2C4D">
        <w:rPr>
          <w:rFonts w:ascii="Arial" w:hAnsi="Arial" w:cs="Arial"/>
          <w:b/>
          <w:sz w:val="20"/>
          <w:szCs w:val="20"/>
        </w:rPr>
        <w:t xml:space="preserve">Tabela 3: Področja reform, za katera je na voljo podpora v okviru projekta </w:t>
      </w:r>
      <w:r w:rsidR="00680296" w:rsidRPr="00BF2C4D">
        <w:rPr>
          <w:rFonts w:ascii="Arial" w:hAnsi="Arial" w:cs="Arial"/>
          <w:b/>
          <w:sz w:val="20"/>
          <w:szCs w:val="20"/>
        </w:rPr>
        <w:t>Premagovanje ovir za regionalni razvoj</w:t>
      </w:r>
    </w:p>
    <w:tbl>
      <w:tblPr>
        <w:tblStyle w:val="TableGrid"/>
        <w:tblW w:w="0" w:type="auto"/>
        <w:tblLook w:val="04A0" w:firstRow="1" w:lastRow="0" w:firstColumn="1" w:lastColumn="0" w:noHBand="0" w:noVBand="1"/>
      </w:tblPr>
      <w:tblGrid>
        <w:gridCol w:w="9062"/>
      </w:tblGrid>
      <w:tr w:rsidR="00680296" w:rsidRPr="00BF2C4D" w14:paraId="5FEB678C" w14:textId="77777777" w:rsidTr="00680296">
        <w:tc>
          <w:tcPr>
            <w:tcW w:w="9212" w:type="dxa"/>
          </w:tcPr>
          <w:p w14:paraId="7C72EC97" w14:textId="77777777" w:rsidR="00680296" w:rsidRPr="00BF2C4D" w:rsidRDefault="00680296" w:rsidP="00BF2C4D">
            <w:pPr>
              <w:jc w:val="both"/>
              <w:rPr>
                <w:rFonts w:ascii="Arial" w:hAnsi="Arial" w:cs="Arial"/>
                <w:b/>
                <w:sz w:val="20"/>
                <w:szCs w:val="20"/>
              </w:rPr>
            </w:pPr>
            <w:r w:rsidRPr="00BF2C4D">
              <w:rPr>
                <w:rFonts w:ascii="Arial" w:hAnsi="Arial" w:cs="Arial"/>
                <w:b/>
                <w:sz w:val="20"/>
                <w:szCs w:val="20"/>
              </w:rPr>
              <w:t>Reform</w:t>
            </w:r>
            <w:r w:rsidR="00BF2C4D" w:rsidRPr="00BF2C4D">
              <w:rPr>
                <w:rFonts w:ascii="Arial" w:hAnsi="Arial" w:cs="Arial"/>
                <w:b/>
                <w:sz w:val="20"/>
                <w:szCs w:val="20"/>
              </w:rPr>
              <w:t>e</w:t>
            </w:r>
          </w:p>
        </w:tc>
      </w:tr>
      <w:tr w:rsidR="00680296" w:rsidRPr="00BF2C4D" w14:paraId="710A7936" w14:textId="77777777" w:rsidTr="00680296">
        <w:tc>
          <w:tcPr>
            <w:tcW w:w="9212" w:type="dxa"/>
          </w:tcPr>
          <w:p w14:paraId="64F04817" w14:textId="77777777" w:rsidR="00680296" w:rsidRPr="00BF2C4D" w:rsidRDefault="00680296" w:rsidP="00BF2C4D">
            <w:pPr>
              <w:jc w:val="both"/>
              <w:rPr>
                <w:rFonts w:ascii="Arial" w:hAnsi="Arial" w:cs="Arial"/>
                <w:sz w:val="20"/>
                <w:szCs w:val="20"/>
              </w:rPr>
            </w:pPr>
            <w:r w:rsidRPr="00BF2C4D">
              <w:rPr>
                <w:rFonts w:ascii="Arial" w:hAnsi="Arial" w:cs="Arial"/>
                <w:sz w:val="20"/>
                <w:szCs w:val="20"/>
              </w:rPr>
              <w:t>Izboljšanje kakovosti upravljanja in javnih storitev</w:t>
            </w:r>
          </w:p>
        </w:tc>
      </w:tr>
      <w:tr w:rsidR="00680296" w:rsidRPr="00BF2C4D" w14:paraId="568E68E1" w14:textId="77777777" w:rsidTr="00680296">
        <w:tc>
          <w:tcPr>
            <w:tcW w:w="9212" w:type="dxa"/>
          </w:tcPr>
          <w:p w14:paraId="39D90B2C" w14:textId="77777777" w:rsidR="00680296" w:rsidRPr="00BF2C4D" w:rsidRDefault="00680296" w:rsidP="00BF2C4D">
            <w:pPr>
              <w:jc w:val="both"/>
              <w:rPr>
                <w:rFonts w:ascii="Arial" w:hAnsi="Arial" w:cs="Arial"/>
                <w:sz w:val="20"/>
                <w:szCs w:val="20"/>
              </w:rPr>
            </w:pPr>
            <w:r w:rsidRPr="00BF2C4D">
              <w:rPr>
                <w:rFonts w:ascii="Arial" w:hAnsi="Arial" w:cs="Arial"/>
                <w:sz w:val="20"/>
                <w:szCs w:val="20"/>
              </w:rPr>
              <w:t>Krepitev produktivnosti, inovacij in zelenega prehoda</w:t>
            </w:r>
          </w:p>
        </w:tc>
      </w:tr>
      <w:tr w:rsidR="00680296" w:rsidRPr="00BF2C4D" w14:paraId="183C1122" w14:textId="77777777" w:rsidTr="00680296">
        <w:tc>
          <w:tcPr>
            <w:tcW w:w="9212" w:type="dxa"/>
          </w:tcPr>
          <w:p w14:paraId="305A6E09" w14:textId="77777777" w:rsidR="00680296" w:rsidRPr="00BF2C4D" w:rsidRDefault="00680296" w:rsidP="00BF2C4D">
            <w:pPr>
              <w:jc w:val="both"/>
              <w:rPr>
                <w:rFonts w:ascii="Arial" w:hAnsi="Arial" w:cs="Arial"/>
                <w:sz w:val="20"/>
                <w:szCs w:val="20"/>
              </w:rPr>
            </w:pPr>
            <w:r w:rsidRPr="00BF2C4D">
              <w:rPr>
                <w:rFonts w:ascii="Arial" w:hAnsi="Arial" w:cs="Arial"/>
                <w:sz w:val="20"/>
                <w:szCs w:val="20"/>
              </w:rPr>
              <w:t>Izkoriščanje talentov in zaposlitvenih možnosti</w:t>
            </w:r>
          </w:p>
        </w:tc>
      </w:tr>
    </w:tbl>
    <w:p w14:paraId="00C09F91" w14:textId="77777777" w:rsidR="00AA4047" w:rsidRDefault="00AA4047" w:rsidP="00BF2C4D">
      <w:pPr>
        <w:jc w:val="both"/>
        <w:rPr>
          <w:rFonts w:ascii="Arial" w:hAnsi="Arial" w:cs="Arial"/>
          <w:sz w:val="20"/>
          <w:szCs w:val="20"/>
        </w:rPr>
      </w:pPr>
    </w:p>
    <w:p w14:paraId="274A22D9" w14:textId="231892B3" w:rsidR="00680296" w:rsidRPr="00BF2C4D" w:rsidRDefault="00F11E12" w:rsidP="00BF2C4D">
      <w:pPr>
        <w:jc w:val="both"/>
        <w:rPr>
          <w:rFonts w:ascii="Arial" w:hAnsi="Arial" w:cs="Arial"/>
          <w:b/>
          <w:sz w:val="20"/>
          <w:szCs w:val="20"/>
        </w:rPr>
      </w:pPr>
      <w:r w:rsidRPr="00BF2C4D">
        <w:rPr>
          <w:rFonts w:ascii="Arial" w:hAnsi="Arial" w:cs="Arial"/>
          <w:b/>
          <w:sz w:val="20"/>
          <w:szCs w:val="20"/>
        </w:rPr>
        <w:t>Tabela 4: Svežnji, za katere je mogoče zaprositi</w:t>
      </w:r>
      <w:r w:rsidR="00BF2C4D">
        <w:rPr>
          <w:rFonts w:ascii="Arial" w:hAnsi="Arial" w:cs="Arial"/>
          <w:b/>
          <w:sz w:val="20"/>
          <w:szCs w:val="20"/>
        </w:rPr>
        <w:t xml:space="preserve"> za podporo</w:t>
      </w:r>
    </w:p>
    <w:tbl>
      <w:tblPr>
        <w:tblStyle w:val="TableGrid"/>
        <w:tblW w:w="0" w:type="auto"/>
        <w:tblLook w:val="04A0" w:firstRow="1" w:lastRow="0" w:firstColumn="1" w:lastColumn="0" w:noHBand="0" w:noVBand="1"/>
      </w:tblPr>
      <w:tblGrid>
        <w:gridCol w:w="9062"/>
      </w:tblGrid>
      <w:tr w:rsidR="00F11E12" w:rsidRPr="00BF2C4D" w14:paraId="266EEC7B" w14:textId="77777777" w:rsidTr="00F11E12">
        <w:tc>
          <w:tcPr>
            <w:tcW w:w="9212" w:type="dxa"/>
          </w:tcPr>
          <w:p w14:paraId="6227A843" w14:textId="77777777" w:rsidR="00F11E12" w:rsidRPr="00BF2C4D" w:rsidRDefault="00F11E12" w:rsidP="00BF2C4D">
            <w:pPr>
              <w:jc w:val="both"/>
              <w:rPr>
                <w:rFonts w:ascii="Arial" w:hAnsi="Arial" w:cs="Arial"/>
                <w:sz w:val="20"/>
                <w:szCs w:val="20"/>
              </w:rPr>
            </w:pPr>
            <w:r w:rsidRPr="00BF2C4D">
              <w:rPr>
                <w:rFonts w:ascii="Arial" w:hAnsi="Arial" w:cs="Arial"/>
                <w:sz w:val="20"/>
                <w:szCs w:val="20"/>
              </w:rPr>
              <w:t>Sveženj</w:t>
            </w:r>
          </w:p>
        </w:tc>
      </w:tr>
      <w:tr w:rsidR="00F11E12" w:rsidRPr="00BF2C4D" w14:paraId="3CB59A8E" w14:textId="77777777" w:rsidTr="00F11E12">
        <w:tc>
          <w:tcPr>
            <w:tcW w:w="9212" w:type="dxa"/>
          </w:tcPr>
          <w:p w14:paraId="0872F1DF" w14:textId="77777777" w:rsidR="00F11E12" w:rsidRPr="00BF2C4D" w:rsidRDefault="00F11E12" w:rsidP="00BF2C4D">
            <w:pPr>
              <w:jc w:val="both"/>
              <w:rPr>
                <w:rFonts w:ascii="Arial" w:hAnsi="Arial" w:cs="Arial"/>
                <w:sz w:val="20"/>
                <w:szCs w:val="20"/>
              </w:rPr>
            </w:pPr>
            <w:r w:rsidRPr="00BF2C4D">
              <w:rPr>
                <w:rFonts w:ascii="Arial" w:hAnsi="Arial" w:cs="Arial"/>
                <w:sz w:val="20"/>
                <w:szCs w:val="20"/>
              </w:rPr>
              <w:t>Prvi sveženj: Ugotovitev in prepoznavanje dejavnikov, ki zavirajo razvoj regije</w:t>
            </w:r>
          </w:p>
        </w:tc>
      </w:tr>
      <w:tr w:rsidR="00F11E12" w:rsidRPr="00BF2C4D" w14:paraId="292CFFBB" w14:textId="77777777" w:rsidTr="00F11E12">
        <w:tc>
          <w:tcPr>
            <w:tcW w:w="9212" w:type="dxa"/>
          </w:tcPr>
          <w:p w14:paraId="1DF70950" w14:textId="77777777" w:rsidR="00F11E12" w:rsidRPr="00BF2C4D" w:rsidRDefault="00F11E12" w:rsidP="00BF2C4D">
            <w:pPr>
              <w:jc w:val="both"/>
              <w:rPr>
                <w:rFonts w:ascii="Arial" w:hAnsi="Arial" w:cs="Arial"/>
                <w:sz w:val="20"/>
                <w:szCs w:val="20"/>
              </w:rPr>
            </w:pPr>
            <w:r w:rsidRPr="00BF2C4D">
              <w:rPr>
                <w:rFonts w:ascii="Arial" w:hAnsi="Arial" w:cs="Arial"/>
                <w:sz w:val="20"/>
                <w:szCs w:val="20"/>
              </w:rPr>
              <w:t>Drugi sveženj: Priprava strategije in akcijskega načrta</w:t>
            </w:r>
          </w:p>
        </w:tc>
      </w:tr>
      <w:tr w:rsidR="00F11E12" w:rsidRPr="00BF2C4D" w14:paraId="54C6795B" w14:textId="77777777" w:rsidTr="00F11E12">
        <w:tc>
          <w:tcPr>
            <w:tcW w:w="9212" w:type="dxa"/>
          </w:tcPr>
          <w:p w14:paraId="3E5B6F37" w14:textId="77777777" w:rsidR="00F11E12" w:rsidRPr="00BF2C4D" w:rsidRDefault="00F11E12" w:rsidP="00BF2C4D">
            <w:pPr>
              <w:jc w:val="both"/>
              <w:rPr>
                <w:rFonts w:ascii="Arial" w:hAnsi="Arial" w:cs="Arial"/>
                <w:sz w:val="20"/>
                <w:szCs w:val="20"/>
              </w:rPr>
            </w:pPr>
            <w:r w:rsidRPr="00BF2C4D">
              <w:rPr>
                <w:rFonts w:ascii="Arial" w:hAnsi="Arial" w:cs="Arial"/>
                <w:sz w:val="20"/>
                <w:szCs w:val="20"/>
              </w:rPr>
              <w:t>Tretji sveženj: Medsebojno učenje, krepitev zmogljivosti in sodelovanje z zainteresiranimi stranmi</w:t>
            </w:r>
          </w:p>
        </w:tc>
      </w:tr>
    </w:tbl>
    <w:p w14:paraId="023D6330" w14:textId="77777777" w:rsidR="00AA4047" w:rsidRDefault="00AA4047" w:rsidP="00BF2C4D">
      <w:pPr>
        <w:jc w:val="both"/>
        <w:rPr>
          <w:rFonts w:ascii="Arial" w:hAnsi="Arial" w:cs="Arial"/>
          <w:sz w:val="20"/>
          <w:szCs w:val="20"/>
        </w:rPr>
      </w:pPr>
    </w:p>
    <w:p w14:paraId="4085B48C" w14:textId="78B63C8A" w:rsidR="00F11E12" w:rsidRPr="00BF2C4D" w:rsidRDefault="00F11E12" w:rsidP="00BF2C4D">
      <w:pPr>
        <w:jc w:val="both"/>
        <w:rPr>
          <w:rFonts w:ascii="Arial" w:hAnsi="Arial" w:cs="Arial"/>
          <w:b/>
          <w:sz w:val="20"/>
          <w:szCs w:val="20"/>
        </w:rPr>
      </w:pPr>
      <w:r w:rsidRPr="00BF2C4D">
        <w:rPr>
          <w:rFonts w:ascii="Arial" w:hAnsi="Arial" w:cs="Arial"/>
          <w:b/>
          <w:sz w:val="20"/>
          <w:szCs w:val="20"/>
        </w:rPr>
        <w:t>Tabela 5: Podporni ukrepi, ki so na voljo za tretji sveženj Medsebojno učenje, krepitev zmogljivosti in sodelovanje z zainteresiranimi stranmi:</w:t>
      </w:r>
    </w:p>
    <w:tbl>
      <w:tblPr>
        <w:tblStyle w:val="TableGrid"/>
        <w:tblW w:w="0" w:type="auto"/>
        <w:tblLook w:val="04A0" w:firstRow="1" w:lastRow="0" w:firstColumn="1" w:lastColumn="0" w:noHBand="0" w:noVBand="1"/>
      </w:tblPr>
      <w:tblGrid>
        <w:gridCol w:w="9062"/>
      </w:tblGrid>
      <w:tr w:rsidR="00F11E12" w:rsidRPr="00BF2C4D" w14:paraId="246F37BB" w14:textId="77777777" w:rsidTr="00F11E12">
        <w:tc>
          <w:tcPr>
            <w:tcW w:w="9212" w:type="dxa"/>
          </w:tcPr>
          <w:p w14:paraId="646C2909" w14:textId="77777777" w:rsidR="00F11E12" w:rsidRPr="00BF2C4D" w:rsidRDefault="00F11E12" w:rsidP="00BF2C4D">
            <w:pPr>
              <w:jc w:val="both"/>
              <w:rPr>
                <w:rFonts w:ascii="Arial" w:hAnsi="Arial" w:cs="Arial"/>
                <w:sz w:val="20"/>
                <w:szCs w:val="20"/>
              </w:rPr>
            </w:pPr>
            <w:r w:rsidRPr="00BF2C4D">
              <w:rPr>
                <w:rFonts w:ascii="Arial" w:hAnsi="Arial" w:cs="Arial"/>
                <w:sz w:val="20"/>
                <w:szCs w:val="20"/>
              </w:rPr>
              <w:t>Podporni ukrepi</w:t>
            </w:r>
          </w:p>
        </w:tc>
      </w:tr>
      <w:tr w:rsidR="00F11E12" w:rsidRPr="00BF2C4D" w14:paraId="46D1B4B8" w14:textId="77777777" w:rsidTr="00F11E12">
        <w:tc>
          <w:tcPr>
            <w:tcW w:w="9212" w:type="dxa"/>
          </w:tcPr>
          <w:p w14:paraId="59B9C544" w14:textId="77777777" w:rsidR="00F11E12" w:rsidRPr="00BF2C4D" w:rsidRDefault="00F11E12" w:rsidP="00BF2C4D">
            <w:pPr>
              <w:jc w:val="both"/>
              <w:rPr>
                <w:rFonts w:ascii="Arial" w:hAnsi="Arial" w:cs="Arial"/>
                <w:sz w:val="20"/>
                <w:szCs w:val="20"/>
              </w:rPr>
            </w:pPr>
            <w:r w:rsidRPr="00BF2C4D">
              <w:rPr>
                <w:rFonts w:ascii="Arial" w:hAnsi="Arial" w:cs="Arial"/>
                <w:sz w:val="20"/>
                <w:szCs w:val="20"/>
              </w:rPr>
              <w:t>Ocenitev regionalnih vrzeli v temeljnih spretnostih, dostopnosti in kakovosti izobraževanja, ki ga zagotavljajo institucije terciarnega in poklicnega izobraževanja in usposabljanja</w:t>
            </w:r>
          </w:p>
        </w:tc>
      </w:tr>
      <w:tr w:rsidR="00F11E12" w:rsidRPr="00BF2C4D" w14:paraId="305D4746" w14:textId="77777777" w:rsidTr="00F11E12">
        <w:tc>
          <w:tcPr>
            <w:tcW w:w="9212" w:type="dxa"/>
          </w:tcPr>
          <w:p w14:paraId="760EC9B6" w14:textId="77777777" w:rsidR="00F11E12" w:rsidRPr="00BF2C4D" w:rsidRDefault="00F11E12" w:rsidP="00BF2C4D">
            <w:pPr>
              <w:jc w:val="both"/>
              <w:rPr>
                <w:rFonts w:ascii="Arial" w:hAnsi="Arial" w:cs="Arial"/>
                <w:sz w:val="20"/>
                <w:szCs w:val="20"/>
              </w:rPr>
            </w:pPr>
            <w:r w:rsidRPr="00BF2C4D">
              <w:rPr>
                <w:rFonts w:ascii="Arial" w:hAnsi="Arial" w:cs="Arial"/>
                <w:sz w:val="20"/>
                <w:szCs w:val="20"/>
              </w:rPr>
              <w:t>Podpora za izpopolnjevanje in preusposabljanje regionalne delovne sile za digitalni in zeleni prehod</w:t>
            </w:r>
          </w:p>
        </w:tc>
      </w:tr>
      <w:tr w:rsidR="00F11E12" w:rsidRPr="00BF2C4D" w14:paraId="3906C408" w14:textId="77777777" w:rsidTr="00F11E12">
        <w:tc>
          <w:tcPr>
            <w:tcW w:w="9212" w:type="dxa"/>
          </w:tcPr>
          <w:p w14:paraId="05842186" w14:textId="77777777" w:rsidR="00F11E12" w:rsidRPr="00BF2C4D" w:rsidRDefault="00F11E12" w:rsidP="00BF2C4D">
            <w:pPr>
              <w:jc w:val="both"/>
              <w:rPr>
                <w:rFonts w:ascii="Arial" w:hAnsi="Arial" w:cs="Arial"/>
                <w:sz w:val="20"/>
                <w:szCs w:val="20"/>
              </w:rPr>
            </w:pPr>
            <w:r w:rsidRPr="00BF2C4D">
              <w:rPr>
                <w:rFonts w:ascii="Arial" w:hAnsi="Arial" w:cs="Arial"/>
                <w:sz w:val="20"/>
                <w:szCs w:val="20"/>
              </w:rPr>
              <w:t>Podpora regionalnim izobraževalnim sistemom, tudi z uporabo digitalnih rešitev za odpravo vrzeli v digitalnem znanju in spretnostih ter z izboljšanjem usposobljenosti učiteljskega kadra</w:t>
            </w:r>
          </w:p>
        </w:tc>
      </w:tr>
      <w:tr w:rsidR="00F11E12" w:rsidRPr="00BF2C4D" w14:paraId="066BACED" w14:textId="77777777" w:rsidTr="00F11E12">
        <w:tc>
          <w:tcPr>
            <w:tcW w:w="9212" w:type="dxa"/>
          </w:tcPr>
          <w:p w14:paraId="539B4324" w14:textId="77777777" w:rsidR="00F11E12" w:rsidRPr="00BF2C4D" w:rsidRDefault="004A33B1" w:rsidP="00BF2C4D">
            <w:pPr>
              <w:jc w:val="both"/>
              <w:rPr>
                <w:rFonts w:ascii="Arial" w:hAnsi="Arial" w:cs="Arial"/>
                <w:sz w:val="20"/>
                <w:szCs w:val="20"/>
              </w:rPr>
            </w:pPr>
            <w:r w:rsidRPr="00BF2C4D">
              <w:rPr>
                <w:rFonts w:ascii="Arial" w:hAnsi="Arial" w:cs="Arial"/>
                <w:sz w:val="20"/>
                <w:szCs w:val="20"/>
              </w:rPr>
              <w:t>Oblikovanje regionalnih mrež za spodbujanje dolgoročnega sodelovanja na področjih, ki so ovira za razvoj regije</w:t>
            </w:r>
          </w:p>
        </w:tc>
      </w:tr>
      <w:tr w:rsidR="00F11E12" w:rsidRPr="00BF2C4D" w14:paraId="7DC1BDD1" w14:textId="77777777" w:rsidTr="00F11E12">
        <w:tc>
          <w:tcPr>
            <w:tcW w:w="9212" w:type="dxa"/>
          </w:tcPr>
          <w:p w14:paraId="6BD5A256" w14:textId="77777777" w:rsidR="00F11E12" w:rsidRPr="00BF2C4D" w:rsidRDefault="004A33B1" w:rsidP="00BF2C4D">
            <w:pPr>
              <w:jc w:val="both"/>
              <w:rPr>
                <w:rFonts w:ascii="Arial" w:hAnsi="Arial" w:cs="Arial"/>
                <w:sz w:val="20"/>
                <w:szCs w:val="20"/>
              </w:rPr>
            </w:pPr>
            <w:r w:rsidRPr="00BF2C4D">
              <w:rPr>
                <w:rFonts w:ascii="Arial" w:hAnsi="Arial" w:cs="Arial"/>
                <w:sz w:val="20"/>
                <w:szCs w:val="20"/>
              </w:rPr>
              <w:t>Razvoj priporočil za izkoriščanje talentov in premagovanje demografskih izzivov</w:t>
            </w:r>
          </w:p>
        </w:tc>
      </w:tr>
    </w:tbl>
    <w:p w14:paraId="5651F444" w14:textId="77777777" w:rsidR="00AA4047" w:rsidRDefault="00AA4047" w:rsidP="00BF2C4D">
      <w:pPr>
        <w:jc w:val="both"/>
        <w:rPr>
          <w:rFonts w:ascii="Arial" w:hAnsi="Arial" w:cs="Arial"/>
          <w:sz w:val="20"/>
          <w:szCs w:val="20"/>
        </w:rPr>
      </w:pPr>
    </w:p>
    <w:p w14:paraId="553D86E9" w14:textId="0812DA6B" w:rsidR="001A2379" w:rsidRPr="00BF2C4D" w:rsidRDefault="001A2379" w:rsidP="00BF2C4D">
      <w:pPr>
        <w:jc w:val="both"/>
        <w:rPr>
          <w:rFonts w:ascii="Arial" w:hAnsi="Arial" w:cs="Arial"/>
          <w:b/>
          <w:sz w:val="20"/>
          <w:szCs w:val="20"/>
        </w:rPr>
      </w:pPr>
      <w:r w:rsidRPr="00BF2C4D">
        <w:rPr>
          <w:rFonts w:ascii="Arial" w:hAnsi="Arial" w:cs="Arial"/>
          <w:b/>
          <w:sz w:val="20"/>
          <w:szCs w:val="20"/>
        </w:rPr>
        <w:t>Koristne informacije:</w:t>
      </w:r>
    </w:p>
    <w:p w14:paraId="65637580" w14:textId="4845994A" w:rsidR="001A2379" w:rsidRPr="00AA4047" w:rsidRDefault="001A2379" w:rsidP="00BF2C4D">
      <w:pPr>
        <w:pStyle w:val="ListParagraph"/>
        <w:numPr>
          <w:ilvl w:val="0"/>
          <w:numId w:val="2"/>
        </w:numPr>
        <w:jc w:val="both"/>
        <w:rPr>
          <w:rFonts w:ascii="Arial" w:hAnsi="Arial" w:cs="Arial"/>
          <w:sz w:val="20"/>
          <w:szCs w:val="20"/>
        </w:rPr>
      </w:pPr>
      <w:r w:rsidRPr="00AA4047">
        <w:rPr>
          <w:rFonts w:ascii="Arial" w:hAnsi="Arial" w:cs="Arial"/>
          <w:sz w:val="20"/>
          <w:szCs w:val="20"/>
        </w:rPr>
        <w:t>Spletna stran z informacijami o projektu Spodbujanje sistemov za razvoj znanj in spretnosti  in povezavo na razpis:</w:t>
      </w:r>
      <w:r w:rsidR="00AA4047" w:rsidRPr="00AA4047">
        <w:rPr>
          <w:rFonts w:ascii="Arial" w:hAnsi="Arial" w:cs="Arial"/>
          <w:sz w:val="20"/>
          <w:szCs w:val="20"/>
        </w:rPr>
        <w:t xml:space="preserve"> </w:t>
      </w:r>
      <w:hyperlink r:id="rId7" w:history="1">
        <w:r w:rsidRPr="00AA4047">
          <w:rPr>
            <w:rStyle w:val="Hyperlink"/>
            <w:rFonts w:ascii="Arial" w:hAnsi="Arial" w:cs="Arial"/>
            <w:sz w:val="20"/>
            <w:szCs w:val="20"/>
          </w:rPr>
          <w:t>https://reform-support.ec.europa.eu/tsi-2024-flagship-flagship-skills-fostering-skills-development-systems-better-adapted-labour-market_sl</w:t>
        </w:r>
      </w:hyperlink>
      <w:r w:rsidRPr="00AA4047">
        <w:rPr>
          <w:rFonts w:ascii="Arial" w:hAnsi="Arial" w:cs="Arial"/>
          <w:sz w:val="20"/>
          <w:szCs w:val="20"/>
        </w:rPr>
        <w:t xml:space="preserve"> </w:t>
      </w:r>
    </w:p>
    <w:p w14:paraId="0FEDC086" w14:textId="006AB368" w:rsidR="001A2379" w:rsidRPr="00AA4047" w:rsidRDefault="001A2379" w:rsidP="00BF2C4D">
      <w:pPr>
        <w:pStyle w:val="ListParagraph"/>
        <w:numPr>
          <w:ilvl w:val="0"/>
          <w:numId w:val="2"/>
        </w:numPr>
        <w:jc w:val="both"/>
        <w:rPr>
          <w:rFonts w:ascii="Arial" w:hAnsi="Arial" w:cs="Arial"/>
          <w:sz w:val="20"/>
          <w:szCs w:val="20"/>
        </w:rPr>
      </w:pPr>
      <w:r w:rsidRPr="00AA4047">
        <w:rPr>
          <w:rFonts w:ascii="Arial" w:hAnsi="Arial" w:cs="Arial"/>
          <w:sz w:val="20"/>
          <w:szCs w:val="20"/>
        </w:rPr>
        <w:lastRenderedPageBreak/>
        <w:t>Spletna stran z informacijami o projektu Premagovanje ovir za regionalni razvoj  in povezavo na razpis:</w:t>
      </w:r>
      <w:r w:rsidR="00AA4047">
        <w:rPr>
          <w:rFonts w:ascii="Arial" w:hAnsi="Arial" w:cs="Arial"/>
          <w:sz w:val="20"/>
          <w:szCs w:val="20"/>
        </w:rPr>
        <w:t xml:space="preserve"> </w:t>
      </w:r>
      <w:hyperlink r:id="rId8" w:history="1">
        <w:r w:rsidRPr="00AA4047">
          <w:rPr>
            <w:rStyle w:val="Hyperlink"/>
            <w:rFonts w:ascii="Arial" w:hAnsi="Arial" w:cs="Arial"/>
            <w:sz w:val="20"/>
            <w:szCs w:val="20"/>
          </w:rPr>
          <w:t>https://reform-support.ec.europa.eu/tsi-2024-flagship-overcoming-barriers-regional-development_sl</w:t>
        </w:r>
      </w:hyperlink>
    </w:p>
    <w:p w14:paraId="1C425644" w14:textId="1A7438B2" w:rsidR="001A2379" w:rsidRPr="00BF2C4D" w:rsidRDefault="001A2379" w:rsidP="00BF2C4D">
      <w:pPr>
        <w:spacing w:after="0"/>
        <w:jc w:val="both"/>
        <w:rPr>
          <w:rFonts w:ascii="Arial" w:hAnsi="Arial" w:cs="Arial"/>
          <w:sz w:val="20"/>
          <w:szCs w:val="20"/>
        </w:rPr>
      </w:pPr>
    </w:p>
    <w:sectPr w:rsidR="001A2379" w:rsidRPr="00BF2C4D" w:rsidSect="00010C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43792"/>
    <w:multiLevelType w:val="hybridMultilevel"/>
    <w:tmpl w:val="3AD6A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2E63D89"/>
    <w:multiLevelType w:val="hybridMultilevel"/>
    <w:tmpl w:val="256048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05274731">
    <w:abstractNumId w:val="1"/>
  </w:num>
  <w:num w:numId="2" w16cid:durableId="1618221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C4"/>
    <w:rsid w:val="00010C07"/>
    <w:rsid w:val="001A2379"/>
    <w:rsid w:val="00401E64"/>
    <w:rsid w:val="004A33B1"/>
    <w:rsid w:val="00535974"/>
    <w:rsid w:val="00680296"/>
    <w:rsid w:val="00725D98"/>
    <w:rsid w:val="00813380"/>
    <w:rsid w:val="0092785A"/>
    <w:rsid w:val="009F01CB"/>
    <w:rsid w:val="00AA4047"/>
    <w:rsid w:val="00B81595"/>
    <w:rsid w:val="00BF2C4D"/>
    <w:rsid w:val="00D631C4"/>
    <w:rsid w:val="00F11E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4DA1"/>
  <w15:docId w15:val="{B7C09B64-F1E8-4840-83B8-44E647A2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C07"/>
  </w:style>
  <w:style w:type="paragraph" w:styleId="Heading2">
    <w:name w:val="heading 2"/>
    <w:basedOn w:val="Normal"/>
    <w:next w:val="Normal"/>
    <w:link w:val="Heading2Char"/>
    <w:uiPriority w:val="9"/>
    <w:semiHidden/>
    <w:unhideWhenUsed/>
    <w:qFormat/>
    <w:rsid w:val="009F01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1595"/>
    <w:rPr>
      <w:color w:val="0000FF" w:themeColor="hyperlink"/>
      <w:u w:val="single"/>
    </w:rPr>
  </w:style>
  <w:style w:type="table" w:styleId="TableGrid">
    <w:name w:val="Table Grid"/>
    <w:basedOn w:val="TableNormal"/>
    <w:uiPriority w:val="59"/>
    <w:rsid w:val="00B815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92785A"/>
    <w:rPr>
      <w:i/>
      <w:iCs/>
    </w:rPr>
  </w:style>
  <w:style w:type="paragraph" w:styleId="ListParagraph">
    <w:name w:val="List Paragraph"/>
    <w:basedOn w:val="Normal"/>
    <w:uiPriority w:val="34"/>
    <w:qFormat/>
    <w:rsid w:val="00F11E12"/>
    <w:pPr>
      <w:ind w:left="720"/>
      <w:contextualSpacing/>
    </w:pPr>
  </w:style>
  <w:style w:type="character" w:customStyle="1" w:styleId="Heading2Char">
    <w:name w:val="Heading 2 Char"/>
    <w:basedOn w:val="DefaultParagraphFont"/>
    <w:link w:val="Heading2"/>
    <w:uiPriority w:val="9"/>
    <w:semiHidden/>
    <w:rsid w:val="009F01C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F0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1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form-support.ec.europa.eu/tsi-2024-flagship-overcoming-barriers-regional-development_sl" TargetMode="External"/><Relationship Id="rId3" Type="http://schemas.openxmlformats.org/officeDocument/2006/relationships/settings" Target="settings.xml"/><Relationship Id="rId7" Type="http://schemas.openxmlformats.org/officeDocument/2006/relationships/hyperlink" Target="https://reform-support.ec.europa.eu/tsi-2024-flagship-flagship-skills-fostering-skills-development-systems-better-adapted-labour-market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FORM-TSI@ec.europa.e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4902</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Bostjan Sinkovec</cp:lastModifiedBy>
  <cp:revision>2</cp:revision>
  <dcterms:created xsi:type="dcterms:W3CDTF">2023-10-23T12:10:00Z</dcterms:created>
  <dcterms:modified xsi:type="dcterms:W3CDTF">2023-10-23T12:10:00Z</dcterms:modified>
</cp:coreProperties>
</file>