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F6" w:rsidRPr="00D5331F" w:rsidRDefault="00B55CF6" w:rsidP="00B55CF6">
      <w:pPr>
        <w:tabs>
          <w:tab w:val="left" w:pos="2520"/>
          <w:tab w:val="left" w:pos="2700"/>
          <w:tab w:val="left" w:pos="3120"/>
        </w:tabs>
        <w:jc w:val="center"/>
      </w:pPr>
      <w:r w:rsidRPr="00D5331F">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55CF6" w:rsidRPr="00D5331F" w:rsidRDefault="00B55CF6" w:rsidP="00B55CF6">
      <w:pPr>
        <w:pStyle w:val="Heading2"/>
        <w:tabs>
          <w:tab w:val="left" w:pos="3120"/>
        </w:tabs>
        <w:jc w:val="center"/>
        <w:rPr>
          <w:b w:val="0"/>
          <w:bCs w:val="0"/>
          <w:i/>
          <w:iCs/>
          <w:sz w:val="22"/>
        </w:rPr>
      </w:pPr>
      <w:r w:rsidRPr="00D5331F">
        <w:rPr>
          <w:b w:val="0"/>
          <w:bCs w:val="0"/>
          <w:sz w:val="22"/>
        </w:rPr>
        <w:t>Slovensko gospodarsko in raziskovalno združenje, Bruselj</w:t>
      </w:r>
    </w:p>
    <w:p w:rsidR="00B55CF6" w:rsidRPr="00D5331F" w:rsidRDefault="00B55CF6" w:rsidP="00B55CF6">
      <w:pPr>
        <w:pBdr>
          <w:bottom w:val="single" w:sz="6" w:space="1" w:color="auto"/>
        </w:pBdr>
        <w:tabs>
          <w:tab w:val="left" w:pos="3120"/>
        </w:tabs>
        <w:jc w:val="center"/>
        <w:rPr>
          <w:sz w:val="16"/>
          <w:szCs w:val="16"/>
        </w:rPr>
      </w:pPr>
    </w:p>
    <w:p w:rsidR="00B55CF6" w:rsidRPr="00D5331F" w:rsidRDefault="00A0665F" w:rsidP="00B55CF6">
      <w:pPr>
        <w:tabs>
          <w:tab w:val="left" w:pos="3120"/>
        </w:tabs>
        <w:jc w:val="center"/>
        <w:rPr>
          <w:rFonts w:ascii="Arial" w:hAnsi="Arial" w:cs="Arial"/>
          <w:b/>
        </w:rPr>
      </w:pPr>
      <w:r>
        <w:rPr>
          <w:rFonts w:ascii="Arial" w:hAnsi="Arial" w:cs="Arial"/>
          <w:b/>
        </w:rPr>
        <w:t>Občasna informacija članom 165</w:t>
      </w:r>
      <w:bookmarkStart w:id="0" w:name="_GoBack"/>
      <w:bookmarkEnd w:id="0"/>
      <w:r w:rsidR="00B55CF6" w:rsidRPr="00D5331F">
        <w:rPr>
          <w:rFonts w:ascii="Arial" w:hAnsi="Arial" w:cs="Arial"/>
          <w:b/>
        </w:rPr>
        <w:t xml:space="preserve"> – 2018</w:t>
      </w:r>
    </w:p>
    <w:p w:rsidR="00B55CF6" w:rsidRPr="00D5331F" w:rsidRDefault="00B55CF6" w:rsidP="00B55CF6">
      <w:pPr>
        <w:pStyle w:val="NoSpacing"/>
        <w:spacing w:after="100"/>
        <w:jc w:val="center"/>
        <w:rPr>
          <w:rFonts w:ascii="Arial" w:hAnsi="Arial" w:cs="Arial"/>
          <w:b/>
        </w:rPr>
      </w:pPr>
      <w:r>
        <w:rPr>
          <w:rFonts w:ascii="Arial" w:hAnsi="Arial" w:cs="Arial"/>
          <w:b/>
        </w:rPr>
        <w:t>15</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B55CF6" w:rsidRDefault="00B55CF6" w:rsidP="00B55CF6">
      <w:pPr>
        <w:jc w:val="center"/>
        <w:rPr>
          <w:rFonts w:ascii="Arial" w:hAnsi="Arial" w:cs="Arial"/>
          <w:b/>
          <w:i/>
        </w:rPr>
      </w:pPr>
      <w:r>
        <w:rPr>
          <w:rFonts w:ascii="Arial" w:hAnsi="Arial" w:cs="Arial"/>
          <w:b/>
          <w:color w:val="993300"/>
          <w:sz w:val="32"/>
          <w:szCs w:val="32"/>
        </w:rPr>
        <w:t>Evropska komisija je predstavila akcijski načrt za razvoj trajnostnega in krožnega biogospodarstva</w:t>
      </w:r>
    </w:p>
    <w:p w:rsidR="00B459D4" w:rsidRPr="00B55CF6" w:rsidRDefault="008D00C2" w:rsidP="00B55CF6">
      <w:pPr>
        <w:rPr>
          <w:rFonts w:ascii="Arial" w:hAnsi="Arial" w:cs="Arial"/>
          <w:b/>
          <w:i/>
        </w:rPr>
      </w:pPr>
      <w:r w:rsidRPr="00B55CF6">
        <w:rPr>
          <w:rFonts w:ascii="Arial" w:hAnsi="Arial" w:cs="Arial"/>
          <w:b/>
          <w:i/>
        </w:rPr>
        <w:t>Evropska komisija je predstavila akcijski načrt za razvoj trajnostnega in krožnega biogospodarstva. Njen namen je izboljšati in razširiti trajnostno uporabo obnovljivih virov za reševanje globalnih in lokalnih izzivov, kot so podnebne spremembe in trajnostni razvoj. V biogospodarstvu se alge lahko spremenijo v gorivo, plastika reciklira, odpadki pretvorijo v novo pohištvo ali oblačila, industrijski stranski proizvodi pa v gnojila na biološki osnovi. Biogospodarstvo po oceni Evropske komisije lahko ustvari 1 milijon novih zelenih delovnih mest do leta 2030.</w:t>
      </w:r>
    </w:p>
    <w:p w:rsidR="008D00C2" w:rsidRPr="00B55CF6" w:rsidRDefault="00AF40EE" w:rsidP="00B55CF6">
      <w:pPr>
        <w:rPr>
          <w:rFonts w:ascii="Arial" w:hAnsi="Arial" w:cs="Arial"/>
          <w:sz w:val="20"/>
          <w:szCs w:val="20"/>
        </w:rPr>
      </w:pPr>
      <w:r w:rsidRPr="00B55CF6">
        <w:rPr>
          <w:rFonts w:ascii="Arial" w:hAnsi="Arial" w:cs="Arial"/>
          <w:sz w:val="20"/>
          <w:szCs w:val="20"/>
        </w:rPr>
        <w:t>Akcijskem načrtu je predvideno, da bo Evropska komisija v letu 2019 vzpostavila tematsko naložbeno platformo za krožno biogospodarstvo v vrednosti 100 milijonov evrov, da bi inovacije na biološki osnovi približala trgu in zmanjšala tveganja zasebnih naložb v trajnostne rešitve. Ker imajo države članice in regije, zlasti v srednji in vzhodni Evropi, velik in slabo izkoriščen potencial na področju biomase in odpadkov, namerava Evropska komisija pripraviti načrt za strateško uvedbo trajnostnih prehranskih in kmetijskih sistemov, gozdarstva in proizvodov na biološki osnovi.</w:t>
      </w:r>
    </w:p>
    <w:p w:rsidR="00AF40EE" w:rsidRPr="00B55CF6" w:rsidRDefault="00AF40EE" w:rsidP="00B55CF6">
      <w:pPr>
        <w:rPr>
          <w:rFonts w:ascii="Arial" w:hAnsi="Arial" w:cs="Arial"/>
          <w:sz w:val="20"/>
          <w:szCs w:val="20"/>
        </w:rPr>
      </w:pPr>
      <w:r w:rsidRPr="00B55CF6">
        <w:rPr>
          <w:rFonts w:ascii="Arial" w:hAnsi="Arial" w:cs="Arial"/>
          <w:sz w:val="20"/>
          <w:szCs w:val="20"/>
        </w:rPr>
        <w:t>V okviru programa Obzorje 2020 namerava razviti instrument EU za podporo politikam s področja biogospodarstva, namenjen državam EU, za razvoj nacionalnih in regionalnih načrtov za biogospodarstvo. Izvajati namerava začeti pilotne ukrepe za razvoj biogospodarstva na podeželskih, obalnih in mestnih območjih, na primer na področju ravnanja z odpadki ali sekvestracije ogljika v kmetijske površine.</w:t>
      </w:r>
    </w:p>
    <w:p w:rsidR="00AF40EE" w:rsidRPr="00B55CF6" w:rsidRDefault="00AF40EE" w:rsidP="00B55CF6">
      <w:pPr>
        <w:rPr>
          <w:rFonts w:ascii="Arial" w:hAnsi="Arial" w:cs="Arial"/>
          <w:sz w:val="20"/>
          <w:szCs w:val="20"/>
        </w:rPr>
      </w:pPr>
      <w:r w:rsidRPr="00B55CF6">
        <w:rPr>
          <w:rFonts w:ascii="Arial" w:hAnsi="Arial" w:cs="Arial"/>
          <w:sz w:val="20"/>
          <w:szCs w:val="20"/>
        </w:rPr>
        <w:t>Evropska komisija bo 22. oktobra v Bruslju organizirala konferenco, na kateri bodo njeni predstaniki z zainteresiranimi stranmi razpravljali o akcijskem načrtu in izpostavili bodo stvarne proizvode na biološki osnovi.</w:t>
      </w:r>
      <w:r w:rsidR="0059688D" w:rsidRPr="00B55CF6">
        <w:rPr>
          <w:rFonts w:ascii="Arial" w:hAnsi="Arial" w:cs="Arial"/>
          <w:sz w:val="20"/>
          <w:szCs w:val="20"/>
        </w:rPr>
        <w:t xml:space="preserve"> Za udeležbo se je mogoče prijaviti še danes, 15. oktobra, mogoče pa jo bo spremljati tudi prek spleta.</w:t>
      </w:r>
    </w:p>
    <w:p w:rsidR="00AF40EE" w:rsidRPr="00B55CF6" w:rsidRDefault="00AF40EE" w:rsidP="00B55CF6">
      <w:pPr>
        <w:rPr>
          <w:rFonts w:ascii="Arial" w:hAnsi="Arial" w:cs="Arial"/>
          <w:b/>
          <w:sz w:val="20"/>
          <w:szCs w:val="20"/>
        </w:rPr>
      </w:pPr>
      <w:r w:rsidRPr="00B55CF6">
        <w:rPr>
          <w:rFonts w:ascii="Arial" w:hAnsi="Arial" w:cs="Arial"/>
          <w:b/>
          <w:sz w:val="20"/>
          <w:szCs w:val="20"/>
        </w:rPr>
        <w:t>Koristne informacije</w:t>
      </w:r>
      <w:r w:rsidR="0059688D" w:rsidRPr="00B55CF6">
        <w:rPr>
          <w:rFonts w:ascii="Arial" w:hAnsi="Arial" w:cs="Arial"/>
          <w:b/>
          <w:sz w:val="20"/>
          <w:szCs w:val="20"/>
        </w:rPr>
        <w:t>:</w:t>
      </w:r>
    </w:p>
    <w:p w:rsidR="0059688D" w:rsidRPr="00B55CF6" w:rsidRDefault="0059688D" w:rsidP="00B55CF6">
      <w:pPr>
        <w:pStyle w:val="ListParagraph"/>
        <w:numPr>
          <w:ilvl w:val="0"/>
          <w:numId w:val="1"/>
        </w:numPr>
        <w:rPr>
          <w:rFonts w:ascii="Arial" w:hAnsi="Arial" w:cs="Arial"/>
          <w:sz w:val="20"/>
          <w:szCs w:val="20"/>
        </w:rPr>
      </w:pPr>
      <w:r w:rsidRPr="00B55CF6">
        <w:rPr>
          <w:rFonts w:ascii="Arial" w:hAnsi="Arial" w:cs="Arial"/>
          <w:sz w:val="20"/>
          <w:szCs w:val="20"/>
        </w:rPr>
        <w:t>Spletna stran s povezavo na strategijo in druge povezane dokumente:</w:t>
      </w:r>
    </w:p>
    <w:p w:rsidR="0059688D" w:rsidRPr="00B55CF6" w:rsidRDefault="00A0665F" w:rsidP="00B55CF6">
      <w:pPr>
        <w:pStyle w:val="ListParagraph"/>
        <w:numPr>
          <w:ilvl w:val="0"/>
          <w:numId w:val="1"/>
        </w:numPr>
        <w:rPr>
          <w:rFonts w:ascii="Arial" w:hAnsi="Arial" w:cs="Arial"/>
          <w:sz w:val="20"/>
          <w:szCs w:val="20"/>
        </w:rPr>
      </w:pPr>
      <w:hyperlink r:id="rId7" w:history="1">
        <w:r w:rsidR="0059688D" w:rsidRPr="00B55CF6">
          <w:rPr>
            <w:rStyle w:val="Hyperlink"/>
            <w:rFonts w:ascii="Arial" w:hAnsi="Arial" w:cs="Arial"/>
            <w:sz w:val="20"/>
            <w:szCs w:val="20"/>
          </w:rPr>
          <w:t>https://ec.europa.eu/research/bioeconomy/index.cfm?pg=policy&amp;lib=strategy</w:t>
        </w:r>
      </w:hyperlink>
    </w:p>
    <w:p w:rsidR="0059688D" w:rsidRPr="00B55CF6" w:rsidRDefault="0059688D" w:rsidP="00B55CF6">
      <w:pPr>
        <w:pStyle w:val="ListParagraph"/>
        <w:numPr>
          <w:ilvl w:val="0"/>
          <w:numId w:val="1"/>
        </w:numPr>
        <w:rPr>
          <w:rFonts w:ascii="Arial" w:hAnsi="Arial" w:cs="Arial"/>
          <w:sz w:val="20"/>
          <w:szCs w:val="20"/>
        </w:rPr>
      </w:pPr>
      <w:r w:rsidRPr="00B55CF6">
        <w:rPr>
          <w:rFonts w:ascii="Arial" w:hAnsi="Arial" w:cs="Arial"/>
          <w:sz w:val="20"/>
          <w:szCs w:val="20"/>
        </w:rPr>
        <w:t>Spletna stran konference, ki bo 22. oktobra:</w:t>
      </w:r>
    </w:p>
    <w:p w:rsidR="0059688D" w:rsidRPr="00B55CF6" w:rsidRDefault="00A0665F" w:rsidP="00B55CF6">
      <w:pPr>
        <w:pStyle w:val="ListParagraph"/>
        <w:numPr>
          <w:ilvl w:val="0"/>
          <w:numId w:val="1"/>
        </w:numPr>
        <w:rPr>
          <w:rFonts w:ascii="Arial" w:hAnsi="Arial" w:cs="Arial"/>
          <w:sz w:val="20"/>
          <w:szCs w:val="20"/>
        </w:rPr>
      </w:pPr>
      <w:hyperlink r:id="rId8" w:history="1">
        <w:r w:rsidR="0059688D" w:rsidRPr="00B55CF6">
          <w:rPr>
            <w:rStyle w:val="Hyperlink"/>
            <w:rFonts w:ascii="Arial" w:hAnsi="Arial" w:cs="Arial"/>
            <w:sz w:val="20"/>
            <w:szCs w:val="20"/>
          </w:rPr>
          <w:t>http://ec.europa.eu/research/index.cfm?pg=events&amp;eventcode=A25347CB-B64A-387D-87DFA5040955E5F0</w:t>
        </w:r>
      </w:hyperlink>
    </w:p>
    <w:p w:rsidR="0059688D" w:rsidRPr="00B55CF6" w:rsidRDefault="0059688D" w:rsidP="00B55CF6">
      <w:pPr>
        <w:rPr>
          <w:rFonts w:ascii="Arial" w:hAnsi="Arial" w:cs="Arial"/>
          <w:sz w:val="20"/>
          <w:szCs w:val="20"/>
        </w:rPr>
      </w:pPr>
      <w:r w:rsidRPr="00B55CF6">
        <w:rPr>
          <w:rFonts w:ascii="Arial" w:hAnsi="Arial" w:cs="Arial"/>
          <w:sz w:val="20"/>
          <w:szCs w:val="20"/>
        </w:rPr>
        <w:t>Pripravila</w:t>
      </w:r>
      <w:r w:rsidR="000579F3">
        <w:rPr>
          <w:rFonts w:ascii="Arial" w:hAnsi="Arial" w:cs="Arial"/>
          <w:sz w:val="20"/>
          <w:szCs w:val="20"/>
        </w:rPr>
        <w:t xml:space="preserve">: </w:t>
      </w:r>
      <w:r w:rsidRPr="00B55CF6">
        <w:rPr>
          <w:rFonts w:ascii="Arial" w:hAnsi="Arial" w:cs="Arial"/>
          <w:sz w:val="20"/>
          <w:szCs w:val="20"/>
        </w:rPr>
        <w:t>Darja Kocbek</w:t>
      </w:r>
    </w:p>
    <w:p w:rsidR="0059688D" w:rsidRPr="00B55CF6" w:rsidRDefault="0059688D" w:rsidP="00B55CF6">
      <w:pPr>
        <w:rPr>
          <w:rFonts w:ascii="Arial" w:hAnsi="Arial" w:cs="Arial"/>
          <w:sz w:val="20"/>
          <w:szCs w:val="20"/>
        </w:rPr>
      </w:pPr>
    </w:p>
    <w:p w:rsidR="00AF40EE" w:rsidRPr="00B55CF6" w:rsidRDefault="00AF40EE" w:rsidP="00B55CF6">
      <w:pPr>
        <w:rPr>
          <w:rFonts w:ascii="Arial" w:hAnsi="Arial" w:cs="Arial"/>
          <w:sz w:val="20"/>
          <w:szCs w:val="20"/>
        </w:rPr>
      </w:pPr>
    </w:p>
    <w:sectPr w:rsidR="00AF40EE" w:rsidRPr="00B55CF6"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26F3A"/>
    <w:multiLevelType w:val="hybridMultilevel"/>
    <w:tmpl w:val="9E943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D00C2"/>
    <w:rsid w:val="000579F3"/>
    <w:rsid w:val="00203F0D"/>
    <w:rsid w:val="0059688D"/>
    <w:rsid w:val="008D00C2"/>
    <w:rsid w:val="00A0665F"/>
    <w:rsid w:val="00AF40EE"/>
    <w:rsid w:val="00B459D4"/>
    <w:rsid w:val="00B55C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B55CF6"/>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0EE"/>
    <w:rPr>
      <w:color w:val="0000FF"/>
      <w:u w:val="single"/>
    </w:rPr>
  </w:style>
  <w:style w:type="paragraph" w:styleId="ListParagraph">
    <w:name w:val="List Paragraph"/>
    <w:basedOn w:val="Normal"/>
    <w:uiPriority w:val="34"/>
    <w:qFormat/>
    <w:rsid w:val="00B55CF6"/>
    <w:pPr>
      <w:ind w:left="720"/>
      <w:contextualSpacing/>
    </w:pPr>
  </w:style>
  <w:style w:type="character" w:customStyle="1" w:styleId="Heading2Char">
    <w:name w:val="Heading 2 Char"/>
    <w:basedOn w:val="DefaultParagraphFont"/>
    <w:link w:val="Heading2"/>
    <w:uiPriority w:val="9"/>
    <w:rsid w:val="00B55CF6"/>
    <w:rPr>
      <w:rFonts w:ascii="Times New Roman" w:eastAsia="Times New Roman" w:hAnsi="Times New Roman" w:cs="Times New Roman"/>
      <w:b/>
      <w:bCs/>
      <w:sz w:val="36"/>
      <w:szCs w:val="36"/>
      <w:lang w:eastAsia="sl-SI"/>
    </w:rPr>
  </w:style>
  <w:style w:type="paragraph" w:styleId="NoSpacing">
    <w:name w:val="No Spacing"/>
    <w:uiPriority w:val="1"/>
    <w:qFormat/>
    <w:rsid w:val="00B55CF6"/>
    <w:pPr>
      <w:spacing w:after="0"/>
    </w:pPr>
  </w:style>
  <w:style w:type="paragraph" w:styleId="BalloonText">
    <w:name w:val="Balloon Text"/>
    <w:basedOn w:val="Normal"/>
    <w:link w:val="BalloonTextChar"/>
    <w:uiPriority w:val="99"/>
    <w:semiHidden/>
    <w:unhideWhenUsed/>
    <w:rsid w:val="00B55C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C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index.cfm?pg=events&amp;eventcode=A25347CB-B64A-387D-87DFA5040955E5F0" TargetMode="External"/><Relationship Id="rId3" Type="http://schemas.microsoft.com/office/2007/relationships/stylesWithEffects" Target="stylesWithEffects.xml"/><Relationship Id="rId7" Type="http://schemas.openxmlformats.org/officeDocument/2006/relationships/hyperlink" Target="https://ec.europa.eu/research/bioeconomy/index.cfm?pg=policy&amp;lib=strate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388</Words>
  <Characters>2216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6</cp:revision>
  <dcterms:created xsi:type="dcterms:W3CDTF">2018-10-11T11:47:00Z</dcterms:created>
  <dcterms:modified xsi:type="dcterms:W3CDTF">2018-10-11T13:43:00Z</dcterms:modified>
</cp:coreProperties>
</file>