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2C" w:rsidRDefault="00BD3B2C">
      <w:pPr>
        <w:rPr>
          <w:rFonts w:ascii="Arial" w:hAnsi="Arial" w:cs="Arial"/>
          <w:b/>
          <w:bCs/>
          <w:i/>
        </w:rPr>
      </w:pPr>
    </w:p>
    <w:p w:rsidR="00E7504B" w:rsidRDefault="00E7504B" w:rsidP="00E7504B">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7504B" w:rsidRDefault="00E7504B" w:rsidP="00E7504B">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E7504B" w:rsidRDefault="00E7504B" w:rsidP="00E7504B">
      <w:pPr>
        <w:pBdr>
          <w:bottom w:val="single" w:sz="6" w:space="1" w:color="auto"/>
        </w:pBdr>
        <w:tabs>
          <w:tab w:val="left" w:pos="3120"/>
        </w:tabs>
        <w:jc w:val="center"/>
        <w:rPr>
          <w:sz w:val="16"/>
          <w:szCs w:val="16"/>
        </w:rPr>
      </w:pPr>
    </w:p>
    <w:p w:rsidR="00E7504B" w:rsidRDefault="00E7504B" w:rsidP="00E7504B">
      <w:pPr>
        <w:tabs>
          <w:tab w:val="left" w:pos="3120"/>
        </w:tabs>
        <w:jc w:val="center"/>
        <w:rPr>
          <w:rFonts w:cs="Arial"/>
          <w:b/>
        </w:rPr>
      </w:pPr>
      <w:r>
        <w:rPr>
          <w:rFonts w:cs="Arial"/>
          <w:b/>
        </w:rPr>
        <w:t>Občasna informacija članom 164 – 2016</w:t>
      </w:r>
    </w:p>
    <w:p w:rsidR="00E7504B" w:rsidRPr="009A2F0F" w:rsidRDefault="00E7504B" w:rsidP="00E7504B">
      <w:pPr>
        <w:tabs>
          <w:tab w:val="left" w:pos="3120"/>
        </w:tabs>
        <w:jc w:val="center"/>
        <w:rPr>
          <w:rFonts w:cs="Arial"/>
          <w:b/>
        </w:rPr>
      </w:pPr>
      <w:r>
        <w:rPr>
          <w:rFonts w:cs="Arial"/>
          <w:b/>
        </w:rPr>
        <w:t>21. november 2016</w:t>
      </w:r>
    </w:p>
    <w:p w:rsidR="00E7504B" w:rsidRDefault="00E7504B" w:rsidP="00E7504B">
      <w:pPr>
        <w:jc w:val="center"/>
        <w:rPr>
          <w:rFonts w:ascii="Arial" w:hAnsi="Arial" w:cs="Arial"/>
          <w:b/>
          <w:bCs/>
          <w:i/>
        </w:rPr>
      </w:pPr>
      <w:r>
        <w:rPr>
          <w:rFonts w:ascii="Arial" w:hAnsi="Arial" w:cs="Arial"/>
          <w:b/>
          <w:color w:val="993300"/>
          <w:sz w:val="32"/>
          <w:szCs w:val="32"/>
        </w:rPr>
        <w:t>Letni pregled rasti Evropske komisije za leto 2017</w:t>
      </w:r>
    </w:p>
    <w:p w:rsidR="00B459D4" w:rsidRPr="00BD3B2C" w:rsidRDefault="005806B0">
      <w:pPr>
        <w:rPr>
          <w:rFonts w:ascii="Arial" w:hAnsi="Arial" w:cs="Arial"/>
          <w:b/>
          <w:i/>
        </w:rPr>
      </w:pPr>
      <w:r w:rsidRPr="00BD3B2C">
        <w:rPr>
          <w:rFonts w:ascii="Arial" w:hAnsi="Arial" w:cs="Arial"/>
          <w:b/>
          <w:bCs/>
          <w:i/>
        </w:rPr>
        <w:t>Evropska komisija</w:t>
      </w:r>
      <w:r w:rsidRPr="00BD3B2C">
        <w:rPr>
          <w:rFonts w:ascii="Arial" w:hAnsi="Arial" w:cs="Arial"/>
          <w:b/>
          <w:i/>
        </w:rPr>
        <w:t xml:space="preserve"> je predstavila svoja stališča glede </w:t>
      </w:r>
      <w:r w:rsidRPr="00BD3B2C">
        <w:rPr>
          <w:rFonts w:ascii="Arial" w:hAnsi="Arial" w:cs="Arial"/>
          <w:b/>
          <w:bCs/>
          <w:i/>
        </w:rPr>
        <w:t>ekonomskih in socialnih prioritet EU</w:t>
      </w:r>
      <w:r w:rsidRPr="00BD3B2C">
        <w:rPr>
          <w:rFonts w:ascii="Arial" w:hAnsi="Arial" w:cs="Arial"/>
          <w:b/>
          <w:i/>
        </w:rPr>
        <w:t xml:space="preserve"> </w:t>
      </w:r>
      <w:r w:rsidRPr="00BD3B2C">
        <w:rPr>
          <w:rFonts w:ascii="Arial" w:hAnsi="Arial" w:cs="Arial"/>
          <w:b/>
          <w:bCs/>
          <w:i/>
        </w:rPr>
        <w:t>za naslednje leto</w:t>
      </w:r>
      <w:r w:rsidRPr="00BD3B2C">
        <w:rPr>
          <w:rFonts w:ascii="Arial" w:hAnsi="Arial" w:cs="Arial"/>
          <w:b/>
          <w:i/>
        </w:rPr>
        <w:t>. Na splošno ugotavlja,</w:t>
      </w:r>
      <w:r w:rsidRPr="00BD3B2C">
        <w:rPr>
          <w:rFonts w:ascii="Arial" w:hAnsi="Arial" w:cs="Arial"/>
          <w:b/>
          <w:bCs/>
          <w:i/>
        </w:rPr>
        <w:t xml:space="preserve"> </w:t>
      </w:r>
      <w:r w:rsidRPr="00BD3B2C">
        <w:rPr>
          <w:rFonts w:ascii="Arial" w:hAnsi="Arial" w:cs="Arial"/>
          <w:b/>
          <w:i/>
        </w:rPr>
        <w:t>da je</w:t>
      </w:r>
      <w:r w:rsidRPr="00BD3B2C">
        <w:rPr>
          <w:rFonts w:ascii="Arial" w:hAnsi="Arial" w:cs="Arial"/>
          <w:b/>
          <w:bCs/>
          <w:i/>
        </w:rPr>
        <w:t xml:space="preserve"> okrevanje evropskega gospodarstva</w:t>
      </w:r>
      <w:r w:rsidRPr="00BD3B2C">
        <w:rPr>
          <w:rFonts w:ascii="Arial" w:hAnsi="Arial" w:cs="Arial"/>
          <w:b/>
          <w:i/>
        </w:rPr>
        <w:t xml:space="preserve"> </w:t>
      </w:r>
      <w:r w:rsidRPr="00BD3B2C">
        <w:rPr>
          <w:rFonts w:ascii="Arial" w:hAnsi="Arial" w:cs="Arial"/>
          <w:b/>
          <w:bCs/>
          <w:i/>
        </w:rPr>
        <w:t>krhko</w:t>
      </w:r>
      <w:r w:rsidRPr="00BD3B2C">
        <w:rPr>
          <w:rFonts w:ascii="Arial" w:hAnsi="Arial" w:cs="Arial"/>
          <w:b/>
          <w:i/>
        </w:rPr>
        <w:t xml:space="preserve">, a dokaj odporno in naravnano na </w:t>
      </w:r>
      <w:r w:rsidRPr="00BD3B2C">
        <w:rPr>
          <w:rFonts w:ascii="Arial" w:hAnsi="Arial" w:cs="Arial"/>
          <w:b/>
          <w:bCs/>
          <w:i/>
        </w:rPr>
        <w:t>ustvarjanje delovnih mest</w:t>
      </w:r>
      <w:r w:rsidRPr="00BD3B2C">
        <w:rPr>
          <w:rFonts w:ascii="Arial" w:hAnsi="Arial" w:cs="Arial"/>
          <w:b/>
          <w:i/>
        </w:rPr>
        <w:t xml:space="preserve">. </w:t>
      </w:r>
      <w:r w:rsidRPr="00BD3B2C">
        <w:rPr>
          <w:rFonts w:ascii="Arial" w:hAnsi="Arial" w:cs="Arial"/>
          <w:b/>
          <w:bCs/>
          <w:i/>
        </w:rPr>
        <w:t>BDP</w:t>
      </w:r>
      <w:r w:rsidRPr="00BD3B2C">
        <w:rPr>
          <w:rFonts w:ascii="Arial" w:hAnsi="Arial" w:cs="Arial"/>
          <w:b/>
          <w:i/>
        </w:rPr>
        <w:t xml:space="preserve"> je zdaj </w:t>
      </w:r>
      <w:r w:rsidRPr="00BD3B2C">
        <w:rPr>
          <w:rFonts w:ascii="Arial" w:hAnsi="Arial" w:cs="Arial"/>
          <w:b/>
          <w:bCs/>
          <w:i/>
        </w:rPr>
        <w:t>višji kot pred krizo</w:t>
      </w:r>
      <w:r w:rsidRPr="00BD3B2C">
        <w:rPr>
          <w:rFonts w:ascii="Arial" w:hAnsi="Arial" w:cs="Arial"/>
          <w:b/>
          <w:i/>
        </w:rPr>
        <w:t xml:space="preserve">, </w:t>
      </w:r>
      <w:r w:rsidRPr="00BD3B2C">
        <w:rPr>
          <w:rFonts w:ascii="Arial" w:hAnsi="Arial" w:cs="Arial"/>
          <w:b/>
          <w:bCs/>
          <w:i/>
        </w:rPr>
        <w:t>brezposelnost se zmanjšuje</w:t>
      </w:r>
      <w:r w:rsidRPr="00BD3B2C">
        <w:rPr>
          <w:rFonts w:ascii="Arial" w:hAnsi="Arial" w:cs="Arial"/>
          <w:b/>
          <w:i/>
        </w:rPr>
        <w:t xml:space="preserve">, </w:t>
      </w:r>
      <w:r w:rsidRPr="00BD3B2C">
        <w:rPr>
          <w:rFonts w:ascii="Arial" w:hAnsi="Arial" w:cs="Arial"/>
          <w:b/>
          <w:bCs/>
          <w:i/>
        </w:rPr>
        <w:t>naložbe</w:t>
      </w:r>
      <w:r w:rsidRPr="00BD3B2C">
        <w:rPr>
          <w:rFonts w:ascii="Arial" w:hAnsi="Arial" w:cs="Arial"/>
          <w:b/>
          <w:i/>
        </w:rPr>
        <w:t xml:space="preserve"> pa </w:t>
      </w:r>
      <w:r w:rsidRPr="00BD3B2C">
        <w:rPr>
          <w:rFonts w:ascii="Arial" w:hAnsi="Arial" w:cs="Arial"/>
          <w:b/>
          <w:bCs/>
          <w:i/>
        </w:rPr>
        <w:t>ponovno</w:t>
      </w:r>
      <w:r w:rsidRPr="00BD3B2C">
        <w:rPr>
          <w:rFonts w:ascii="Arial" w:hAnsi="Arial" w:cs="Arial"/>
          <w:b/>
          <w:i/>
        </w:rPr>
        <w:t xml:space="preserve"> </w:t>
      </w:r>
      <w:r w:rsidRPr="00BD3B2C">
        <w:rPr>
          <w:rFonts w:ascii="Arial" w:hAnsi="Arial" w:cs="Arial"/>
          <w:b/>
          <w:bCs/>
          <w:i/>
        </w:rPr>
        <w:t>rastejo</w:t>
      </w:r>
      <w:r w:rsidRPr="00BD3B2C">
        <w:rPr>
          <w:rFonts w:ascii="Arial" w:hAnsi="Arial" w:cs="Arial"/>
          <w:b/>
          <w:i/>
        </w:rPr>
        <w:t xml:space="preserve">. Vendar se posledice krize še vedno čutijo v smislu </w:t>
      </w:r>
      <w:r w:rsidRPr="00BD3B2C">
        <w:rPr>
          <w:rFonts w:ascii="Arial" w:hAnsi="Arial" w:cs="Arial"/>
          <w:b/>
          <w:bCs/>
          <w:i/>
        </w:rPr>
        <w:t>socialnega učinka</w:t>
      </w:r>
      <w:r w:rsidRPr="00BD3B2C">
        <w:rPr>
          <w:rFonts w:ascii="Arial" w:hAnsi="Arial" w:cs="Arial"/>
          <w:b/>
          <w:i/>
        </w:rPr>
        <w:t xml:space="preserve">, </w:t>
      </w:r>
      <w:r w:rsidRPr="00BD3B2C">
        <w:rPr>
          <w:rFonts w:ascii="Arial" w:hAnsi="Arial" w:cs="Arial"/>
          <w:b/>
          <w:bCs/>
          <w:i/>
        </w:rPr>
        <w:t>visoke ravni javnega</w:t>
      </w:r>
      <w:r w:rsidRPr="00BD3B2C">
        <w:rPr>
          <w:rFonts w:ascii="Arial" w:hAnsi="Arial" w:cs="Arial"/>
          <w:b/>
          <w:i/>
        </w:rPr>
        <w:t xml:space="preserve"> in </w:t>
      </w:r>
      <w:r w:rsidRPr="00BD3B2C">
        <w:rPr>
          <w:rFonts w:ascii="Arial" w:hAnsi="Arial" w:cs="Arial"/>
          <w:b/>
          <w:bCs/>
          <w:i/>
        </w:rPr>
        <w:t>zasebnega dolga</w:t>
      </w:r>
      <w:r w:rsidRPr="00BD3B2C">
        <w:rPr>
          <w:rFonts w:ascii="Arial" w:hAnsi="Arial" w:cs="Arial"/>
          <w:b/>
          <w:i/>
        </w:rPr>
        <w:t xml:space="preserve"> ter </w:t>
      </w:r>
      <w:r w:rsidRPr="00BD3B2C">
        <w:rPr>
          <w:rFonts w:ascii="Arial" w:hAnsi="Arial" w:cs="Arial"/>
          <w:b/>
          <w:bCs/>
          <w:i/>
        </w:rPr>
        <w:t>deleža slabih posojil</w:t>
      </w:r>
      <w:r w:rsidRPr="00BD3B2C">
        <w:rPr>
          <w:rFonts w:ascii="Arial" w:hAnsi="Arial" w:cs="Arial"/>
          <w:b/>
          <w:i/>
        </w:rPr>
        <w:t>.</w:t>
      </w:r>
    </w:p>
    <w:p w:rsidR="005806B0" w:rsidRPr="00BD3B2C" w:rsidRDefault="005806B0">
      <w:pPr>
        <w:rPr>
          <w:rFonts w:ascii="Arial" w:hAnsi="Arial" w:cs="Arial"/>
          <w:sz w:val="20"/>
          <w:szCs w:val="20"/>
        </w:rPr>
      </w:pPr>
      <w:r w:rsidRPr="00BD3B2C">
        <w:rPr>
          <w:rFonts w:ascii="Arial" w:hAnsi="Arial" w:cs="Arial"/>
          <w:sz w:val="20"/>
          <w:szCs w:val="20"/>
        </w:rPr>
        <w:t>V poročilu o</w:t>
      </w:r>
      <w:r w:rsidRPr="00BD3B2C">
        <w:rPr>
          <w:rFonts w:ascii="Arial" w:hAnsi="Arial" w:cs="Arial"/>
          <w:bCs/>
          <w:sz w:val="20"/>
          <w:szCs w:val="20"/>
        </w:rPr>
        <w:t xml:space="preserve"> mehanizmu opozarjanja</w:t>
      </w:r>
      <w:r w:rsidRPr="00BD3B2C">
        <w:rPr>
          <w:rFonts w:ascii="Arial" w:hAnsi="Arial" w:cs="Arial"/>
          <w:sz w:val="20"/>
          <w:szCs w:val="20"/>
        </w:rPr>
        <w:t xml:space="preserve">, ki je ključno orodje za preprečevanje in odpravljanje neravnotežij, Komisija </w:t>
      </w:r>
      <w:r w:rsidRPr="00BD3B2C">
        <w:rPr>
          <w:rFonts w:ascii="Arial" w:hAnsi="Arial" w:cs="Arial"/>
          <w:bCs/>
          <w:sz w:val="20"/>
          <w:szCs w:val="20"/>
        </w:rPr>
        <w:t>izpostavlja 13 držav EU</w:t>
      </w:r>
      <w:r w:rsidRPr="00BD3B2C">
        <w:rPr>
          <w:rFonts w:ascii="Arial" w:hAnsi="Arial" w:cs="Arial"/>
          <w:sz w:val="20"/>
          <w:szCs w:val="20"/>
        </w:rPr>
        <w:t xml:space="preserve">, v katerih mora z </w:t>
      </w:r>
      <w:r w:rsidRPr="00BD3B2C">
        <w:rPr>
          <w:rFonts w:ascii="Arial" w:hAnsi="Arial" w:cs="Arial"/>
          <w:bCs/>
          <w:sz w:val="20"/>
          <w:szCs w:val="20"/>
        </w:rPr>
        <w:t>dodatnimi poglobljenimi preglede preveriti</w:t>
      </w:r>
      <w:r w:rsidRPr="00BD3B2C">
        <w:rPr>
          <w:rFonts w:ascii="Arial" w:hAnsi="Arial" w:cs="Arial"/>
          <w:sz w:val="20"/>
          <w:szCs w:val="20"/>
        </w:rPr>
        <w:t xml:space="preserve">, ali se </w:t>
      </w:r>
      <w:r w:rsidRPr="00BD3B2C">
        <w:rPr>
          <w:rFonts w:ascii="Arial" w:hAnsi="Arial" w:cs="Arial"/>
          <w:bCs/>
          <w:sz w:val="20"/>
          <w:szCs w:val="20"/>
        </w:rPr>
        <w:t>soočajo z neravnotežji</w:t>
      </w:r>
      <w:r w:rsidRPr="00BD3B2C">
        <w:rPr>
          <w:rFonts w:ascii="Arial" w:hAnsi="Arial" w:cs="Arial"/>
          <w:sz w:val="20"/>
          <w:szCs w:val="20"/>
        </w:rPr>
        <w:t xml:space="preserve">. Gre za iste države, v katerih so bila neravnotežja ugotovljena že v prejšnjem krogu poglobljenih pregledov: Bolgarija, Hrvaška, Ciper, Finska, Francija, Nemčija, Irska, Italija, Nizozemska, Portugalska, </w:t>
      </w:r>
      <w:r w:rsidRPr="00BD3B2C">
        <w:rPr>
          <w:rFonts w:ascii="Arial" w:hAnsi="Arial" w:cs="Arial"/>
          <w:bCs/>
          <w:sz w:val="20"/>
          <w:szCs w:val="20"/>
        </w:rPr>
        <w:t>Slovenija</w:t>
      </w:r>
      <w:r w:rsidRPr="00BD3B2C">
        <w:rPr>
          <w:rFonts w:ascii="Arial" w:hAnsi="Arial" w:cs="Arial"/>
          <w:sz w:val="20"/>
          <w:szCs w:val="20"/>
        </w:rPr>
        <w:t>, Španija in Švedska. Komisija bo ugotovitve predstavila v letnih poročilih o državah v začetku leta 2017.</w:t>
      </w:r>
    </w:p>
    <w:p w:rsidR="005806B0" w:rsidRPr="00BD3B2C" w:rsidRDefault="005806B0">
      <w:pPr>
        <w:rPr>
          <w:rFonts w:ascii="Arial" w:hAnsi="Arial" w:cs="Arial"/>
          <w:sz w:val="20"/>
          <w:szCs w:val="20"/>
        </w:rPr>
      </w:pPr>
      <w:r w:rsidRPr="00BD3B2C">
        <w:rPr>
          <w:rFonts w:ascii="Arial" w:hAnsi="Arial" w:cs="Arial"/>
          <w:sz w:val="20"/>
          <w:szCs w:val="20"/>
        </w:rPr>
        <w:t>Komisija namerava pred izdajo poročil o državah v začetku leta 2017, pred prejetjem nacionalnih programov in pred spomladansko objavo priporočil za posamezne države okrepiti dialog z državami članicami, da bi razvile enotno razumevanje skupnih prioritet ter uspešnega izvajanja in časovne razporeditve reform. Misije na politični ravni bodo potekale pod vodstvom pristojnega podpredsednika. Poleg tega bodo imele države članice na dvostranskih srečanjih možnost zagotoviti povratne informacije o analizi Komisije.</w:t>
      </w:r>
    </w:p>
    <w:p w:rsidR="005806B0" w:rsidRPr="00BD3B2C" w:rsidRDefault="005806B0">
      <w:pPr>
        <w:rPr>
          <w:rFonts w:ascii="Arial" w:hAnsi="Arial" w:cs="Arial"/>
          <w:b/>
          <w:sz w:val="20"/>
          <w:szCs w:val="20"/>
        </w:rPr>
      </w:pPr>
      <w:r w:rsidRPr="00BD3B2C">
        <w:rPr>
          <w:rFonts w:ascii="Arial" w:hAnsi="Arial" w:cs="Arial"/>
          <w:b/>
          <w:sz w:val="20"/>
          <w:szCs w:val="20"/>
        </w:rPr>
        <w:t>Koristne informacije:</w:t>
      </w:r>
    </w:p>
    <w:p w:rsidR="005806B0" w:rsidRPr="00BD3B2C" w:rsidRDefault="005806B0" w:rsidP="00BD3B2C">
      <w:pPr>
        <w:pStyle w:val="Odstavekseznama"/>
        <w:numPr>
          <w:ilvl w:val="0"/>
          <w:numId w:val="1"/>
        </w:numPr>
        <w:rPr>
          <w:rFonts w:ascii="Arial" w:hAnsi="Arial" w:cs="Arial"/>
          <w:sz w:val="20"/>
          <w:szCs w:val="20"/>
        </w:rPr>
      </w:pPr>
      <w:r w:rsidRPr="00BD3B2C">
        <w:rPr>
          <w:rFonts w:ascii="Arial" w:hAnsi="Arial" w:cs="Arial"/>
          <w:sz w:val="20"/>
          <w:szCs w:val="20"/>
        </w:rPr>
        <w:t>Letni pregled rasti:</w:t>
      </w:r>
    </w:p>
    <w:p w:rsidR="005806B0" w:rsidRPr="00BD3B2C" w:rsidRDefault="005806B0" w:rsidP="00BD3B2C">
      <w:pPr>
        <w:pStyle w:val="Odstavekseznama"/>
        <w:numPr>
          <w:ilvl w:val="0"/>
          <w:numId w:val="1"/>
        </w:numPr>
        <w:rPr>
          <w:rFonts w:ascii="Arial" w:hAnsi="Arial" w:cs="Arial"/>
          <w:sz w:val="20"/>
          <w:szCs w:val="20"/>
        </w:rPr>
      </w:pPr>
      <w:hyperlink r:id="rId6" w:history="1">
        <w:r w:rsidRPr="00BD3B2C">
          <w:rPr>
            <w:rStyle w:val="Hiperpovezava"/>
            <w:rFonts w:ascii="Arial" w:hAnsi="Arial" w:cs="Arial"/>
            <w:sz w:val="20"/>
            <w:szCs w:val="20"/>
          </w:rPr>
          <w:t>https://ec.europa.eu/info/sites/info/files/2017-european-semester-annual-growth-survey_en_0.pdf</w:t>
        </w:r>
      </w:hyperlink>
    </w:p>
    <w:p w:rsidR="005806B0" w:rsidRPr="00BD3B2C" w:rsidRDefault="005806B0" w:rsidP="00BD3B2C">
      <w:pPr>
        <w:pStyle w:val="Odstavekseznama"/>
        <w:numPr>
          <w:ilvl w:val="0"/>
          <w:numId w:val="1"/>
        </w:numPr>
        <w:rPr>
          <w:rFonts w:ascii="Arial" w:hAnsi="Arial" w:cs="Arial"/>
          <w:sz w:val="20"/>
          <w:szCs w:val="20"/>
        </w:rPr>
      </w:pPr>
      <w:r w:rsidRPr="00BD3B2C">
        <w:rPr>
          <w:rFonts w:ascii="Arial" w:hAnsi="Arial" w:cs="Arial"/>
          <w:sz w:val="20"/>
          <w:szCs w:val="20"/>
        </w:rPr>
        <w:t>Poročilo o mehanizmu opozarjanja za leto 2017:</w:t>
      </w:r>
    </w:p>
    <w:p w:rsidR="005806B0" w:rsidRPr="00BD3B2C" w:rsidRDefault="005806B0" w:rsidP="00BD3B2C">
      <w:pPr>
        <w:pStyle w:val="Odstavekseznama"/>
        <w:numPr>
          <w:ilvl w:val="0"/>
          <w:numId w:val="1"/>
        </w:numPr>
        <w:rPr>
          <w:rFonts w:ascii="Arial" w:hAnsi="Arial" w:cs="Arial"/>
          <w:sz w:val="20"/>
          <w:szCs w:val="20"/>
        </w:rPr>
      </w:pPr>
      <w:hyperlink r:id="rId7" w:history="1">
        <w:r w:rsidRPr="00BD3B2C">
          <w:rPr>
            <w:rStyle w:val="Hiperpovezava"/>
            <w:rFonts w:ascii="Arial" w:hAnsi="Arial" w:cs="Arial"/>
            <w:sz w:val="20"/>
            <w:szCs w:val="20"/>
          </w:rPr>
          <w:t>https://ec.europa.eu/info/sites/info/files/2017-european-semester-alert-mechanism-report_en_0.pdf</w:t>
        </w:r>
      </w:hyperlink>
    </w:p>
    <w:p w:rsidR="005806B0" w:rsidRPr="00BD3B2C" w:rsidRDefault="005806B0" w:rsidP="00BD3B2C">
      <w:pPr>
        <w:pStyle w:val="Odstavekseznama"/>
        <w:numPr>
          <w:ilvl w:val="0"/>
          <w:numId w:val="1"/>
        </w:numPr>
        <w:rPr>
          <w:rFonts w:ascii="Arial" w:hAnsi="Arial" w:cs="Arial"/>
          <w:sz w:val="20"/>
          <w:szCs w:val="20"/>
        </w:rPr>
      </w:pPr>
      <w:r w:rsidRPr="00BD3B2C">
        <w:rPr>
          <w:rFonts w:ascii="Arial" w:hAnsi="Arial" w:cs="Arial"/>
          <w:sz w:val="20"/>
          <w:szCs w:val="20"/>
        </w:rPr>
        <w:t>Osnutek skupnega poročila o zaposlovanju:</w:t>
      </w:r>
    </w:p>
    <w:p w:rsidR="005806B0" w:rsidRPr="00BD3B2C" w:rsidRDefault="005806B0" w:rsidP="00BD3B2C">
      <w:pPr>
        <w:pStyle w:val="Odstavekseznama"/>
        <w:numPr>
          <w:ilvl w:val="0"/>
          <w:numId w:val="1"/>
        </w:numPr>
        <w:rPr>
          <w:rFonts w:ascii="Arial" w:hAnsi="Arial" w:cs="Arial"/>
          <w:sz w:val="20"/>
          <w:szCs w:val="20"/>
        </w:rPr>
      </w:pPr>
      <w:hyperlink r:id="rId8" w:history="1">
        <w:r w:rsidRPr="00BD3B2C">
          <w:rPr>
            <w:rStyle w:val="Hiperpovezava"/>
            <w:rFonts w:ascii="Arial" w:hAnsi="Arial" w:cs="Arial"/>
            <w:sz w:val="20"/>
            <w:szCs w:val="20"/>
          </w:rPr>
          <w:t>https://ec.europa.eu/info/sites/info/files/2017-european-semester-draft-joint-employment-report_en_1.pdf</w:t>
        </w:r>
      </w:hyperlink>
    </w:p>
    <w:p w:rsidR="005806B0" w:rsidRPr="00BD3B2C" w:rsidRDefault="005806B0" w:rsidP="00BD3B2C">
      <w:pPr>
        <w:pStyle w:val="Odstavekseznama"/>
        <w:numPr>
          <w:ilvl w:val="0"/>
          <w:numId w:val="1"/>
        </w:numPr>
        <w:rPr>
          <w:rFonts w:ascii="Arial" w:hAnsi="Arial" w:cs="Arial"/>
          <w:sz w:val="20"/>
          <w:szCs w:val="20"/>
        </w:rPr>
      </w:pPr>
      <w:r w:rsidRPr="00BD3B2C">
        <w:rPr>
          <w:rFonts w:ascii="Arial" w:hAnsi="Arial" w:cs="Arial"/>
          <w:sz w:val="20"/>
          <w:szCs w:val="20"/>
        </w:rPr>
        <w:t>Sporočilo Evropske komisije s povezavami</w:t>
      </w:r>
      <w:r w:rsidR="00BD3B2C" w:rsidRPr="00BD3B2C">
        <w:rPr>
          <w:rFonts w:ascii="Arial" w:hAnsi="Arial" w:cs="Arial"/>
          <w:sz w:val="20"/>
          <w:szCs w:val="20"/>
        </w:rPr>
        <w:t xml:space="preserve"> na poročila:</w:t>
      </w:r>
    </w:p>
    <w:p w:rsidR="00BD3B2C" w:rsidRPr="00BD3B2C" w:rsidRDefault="00BD3B2C" w:rsidP="00BD3B2C">
      <w:pPr>
        <w:pStyle w:val="Odstavekseznama"/>
        <w:numPr>
          <w:ilvl w:val="0"/>
          <w:numId w:val="1"/>
        </w:numPr>
        <w:rPr>
          <w:rFonts w:ascii="Arial" w:hAnsi="Arial" w:cs="Arial"/>
          <w:sz w:val="20"/>
          <w:szCs w:val="20"/>
        </w:rPr>
      </w:pPr>
      <w:hyperlink r:id="rId9" w:history="1">
        <w:r w:rsidRPr="00BD3B2C">
          <w:rPr>
            <w:rStyle w:val="Hiperpovezava"/>
            <w:rFonts w:ascii="Arial" w:hAnsi="Arial" w:cs="Arial"/>
            <w:sz w:val="20"/>
            <w:szCs w:val="20"/>
          </w:rPr>
          <w:t>http://europa.eu/rapid/press-release_IP-16-3664_sl.htm</w:t>
        </w:r>
      </w:hyperlink>
    </w:p>
    <w:p w:rsidR="00BD3B2C" w:rsidRPr="00BD3B2C" w:rsidRDefault="00BD3B2C">
      <w:pPr>
        <w:rPr>
          <w:rFonts w:ascii="Arial" w:hAnsi="Arial" w:cs="Arial"/>
          <w:sz w:val="20"/>
          <w:szCs w:val="20"/>
        </w:rPr>
      </w:pPr>
      <w:r w:rsidRPr="00BD3B2C">
        <w:rPr>
          <w:rFonts w:ascii="Arial" w:hAnsi="Arial" w:cs="Arial"/>
          <w:sz w:val="20"/>
          <w:szCs w:val="20"/>
        </w:rPr>
        <w:t>Pripravila:</w:t>
      </w:r>
      <w:r w:rsidR="00E7504B">
        <w:rPr>
          <w:rFonts w:ascii="Arial" w:hAnsi="Arial" w:cs="Arial"/>
          <w:sz w:val="20"/>
          <w:szCs w:val="20"/>
        </w:rPr>
        <w:t xml:space="preserve"> </w:t>
      </w:r>
      <w:r w:rsidRPr="00BD3B2C">
        <w:rPr>
          <w:rFonts w:ascii="Arial" w:hAnsi="Arial" w:cs="Arial"/>
          <w:sz w:val="20"/>
          <w:szCs w:val="20"/>
        </w:rPr>
        <w:t>Darja Kocbek</w:t>
      </w:r>
    </w:p>
    <w:sectPr w:rsidR="00BD3B2C" w:rsidRPr="00BD3B2C"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11C4C"/>
    <w:multiLevelType w:val="hybridMultilevel"/>
    <w:tmpl w:val="77C66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6B0"/>
    <w:rsid w:val="000120BF"/>
    <w:rsid w:val="005806B0"/>
    <w:rsid w:val="00B459D4"/>
    <w:rsid w:val="00BD3B2C"/>
    <w:rsid w:val="00E7504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E7504B"/>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06B0"/>
    <w:rPr>
      <w:color w:val="0000FF" w:themeColor="hyperlink"/>
      <w:u w:val="single"/>
    </w:rPr>
  </w:style>
  <w:style w:type="paragraph" w:styleId="Odstavekseznama">
    <w:name w:val="List Paragraph"/>
    <w:basedOn w:val="Navaden"/>
    <w:uiPriority w:val="34"/>
    <w:qFormat/>
    <w:rsid w:val="00BD3B2C"/>
    <w:pPr>
      <w:ind w:left="720"/>
      <w:contextualSpacing/>
    </w:pPr>
  </w:style>
  <w:style w:type="character" w:customStyle="1" w:styleId="Naslov2Znak">
    <w:name w:val="Naslov 2 Znak"/>
    <w:basedOn w:val="Privzetapisavaodstavka"/>
    <w:link w:val="Naslov2"/>
    <w:rsid w:val="00E7504B"/>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E7504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5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info/files/2017-european-semester-draft-joint-employment-report_en_1.pdf" TargetMode="External"/><Relationship Id="rId3" Type="http://schemas.openxmlformats.org/officeDocument/2006/relationships/settings" Target="settings.xml"/><Relationship Id="rId7" Type="http://schemas.openxmlformats.org/officeDocument/2006/relationships/hyperlink" Target="https://ec.europa.eu/info/sites/info/files/2017-european-semester-alert-mechanism-report_en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2017-european-semester-annual-growth-survey_en_0.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opa.eu/rapid/press-release_IP-16-3664_sl.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399</Words>
  <Characters>2280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2016-11-16T14:20:00Z</dcterms:created>
  <dcterms:modified xsi:type="dcterms:W3CDTF">2016-11-16T14:41:00Z</dcterms:modified>
</cp:coreProperties>
</file>