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00" w:rsidRPr="00467345" w:rsidRDefault="00042A00" w:rsidP="00042A00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A00" w:rsidRDefault="00042A00" w:rsidP="00042A00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042A00" w:rsidRPr="00083714" w:rsidRDefault="00042A00" w:rsidP="00042A00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</w:p>
    <w:p w:rsidR="00042A00" w:rsidRPr="00083714" w:rsidRDefault="00042A00" w:rsidP="00042A00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042A00" w:rsidRDefault="00042A00" w:rsidP="00042A00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162 </w:t>
      </w:r>
      <w:r w:rsidRPr="00083714">
        <w:rPr>
          <w:b/>
        </w:rPr>
        <w:t>– 20</w:t>
      </w:r>
      <w:r>
        <w:rPr>
          <w:b/>
        </w:rPr>
        <w:t>22</w:t>
      </w:r>
    </w:p>
    <w:p w:rsidR="00042A00" w:rsidRPr="0002310E" w:rsidRDefault="00042A00" w:rsidP="00042A00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24. oktober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042A00" w:rsidRDefault="001425D4" w:rsidP="001425D4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V državah EU ima vse več regij svoje strategije za </w:t>
      </w:r>
      <w:proofErr w:type="spellStart"/>
      <w:r>
        <w:rPr>
          <w:b/>
          <w:color w:val="993300"/>
          <w:sz w:val="32"/>
          <w:szCs w:val="32"/>
        </w:rPr>
        <w:t>biogospodarstvo</w:t>
      </w:r>
      <w:proofErr w:type="spellEnd"/>
    </w:p>
    <w:p w:rsidR="00AA4FC4" w:rsidRPr="000B5080" w:rsidRDefault="002A54AE" w:rsidP="000B5080">
      <w:pPr>
        <w:jc w:val="both"/>
        <w:rPr>
          <w:rFonts w:ascii="Arial" w:hAnsi="Arial" w:cs="Arial"/>
          <w:sz w:val="20"/>
          <w:szCs w:val="20"/>
        </w:rPr>
      </w:pPr>
      <w:r w:rsidRPr="000B5080">
        <w:rPr>
          <w:rFonts w:ascii="Arial" w:hAnsi="Arial" w:cs="Arial"/>
          <w:b/>
          <w:i/>
        </w:rPr>
        <w:t xml:space="preserve">Analitiki na Središču znanja za </w:t>
      </w:r>
      <w:proofErr w:type="spellStart"/>
      <w:r w:rsidRPr="000B5080">
        <w:rPr>
          <w:rFonts w:ascii="Arial" w:hAnsi="Arial" w:cs="Arial"/>
          <w:b/>
          <w:i/>
        </w:rPr>
        <w:t>biogospodarstvo</w:t>
      </w:r>
      <w:proofErr w:type="spellEnd"/>
      <w:r w:rsidRPr="000B5080">
        <w:rPr>
          <w:rFonts w:ascii="Arial" w:hAnsi="Arial" w:cs="Arial"/>
          <w:b/>
          <w:i/>
        </w:rPr>
        <w:t xml:space="preserve"> pri Evropski komisiji ugotavljajo, da ima vse več regij v EU svoje strategije za </w:t>
      </w:r>
      <w:proofErr w:type="spellStart"/>
      <w:r w:rsidRPr="000B5080">
        <w:rPr>
          <w:rFonts w:ascii="Arial" w:hAnsi="Arial" w:cs="Arial"/>
          <w:b/>
          <w:i/>
        </w:rPr>
        <w:t>biogospodarstvo</w:t>
      </w:r>
      <w:proofErr w:type="spellEnd"/>
      <w:r w:rsidRPr="000B5080">
        <w:rPr>
          <w:rFonts w:ascii="Arial" w:hAnsi="Arial" w:cs="Arial"/>
          <w:b/>
          <w:i/>
        </w:rPr>
        <w:t xml:space="preserve">. Po njihovih podatkih ima 194 regij strateški okvir za </w:t>
      </w:r>
      <w:proofErr w:type="spellStart"/>
      <w:r w:rsidRPr="000B5080">
        <w:rPr>
          <w:rFonts w:ascii="Arial" w:hAnsi="Arial" w:cs="Arial"/>
          <w:b/>
          <w:i/>
        </w:rPr>
        <w:t>biogospodarstvo</w:t>
      </w:r>
      <w:proofErr w:type="spellEnd"/>
      <w:r w:rsidRPr="000B5080">
        <w:rPr>
          <w:rFonts w:ascii="Arial" w:hAnsi="Arial" w:cs="Arial"/>
          <w:b/>
          <w:i/>
        </w:rPr>
        <w:t xml:space="preserve"> že </w:t>
      </w:r>
      <w:proofErr w:type="spellStart"/>
      <w:r w:rsidRPr="000B5080">
        <w:rPr>
          <w:rFonts w:ascii="Arial" w:hAnsi="Arial" w:cs="Arial"/>
          <w:b/>
          <w:i/>
        </w:rPr>
        <w:t>vzpostavljuen</w:t>
      </w:r>
      <w:proofErr w:type="spellEnd"/>
      <w:r w:rsidRPr="000B5080">
        <w:rPr>
          <w:rFonts w:ascii="Arial" w:hAnsi="Arial" w:cs="Arial"/>
          <w:b/>
          <w:i/>
        </w:rPr>
        <w:t xml:space="preserve"> ali v pripravi. Na regionalni ravni so našteli 359 strategij, ki so po njihovi oceni pomembne za </w:t>
      </w:r>
      <w:proofErr w:type="spellStart"/>
      <w:r w:rsidRPr="000B5080">
        <w:rPr>
          <w:rFonts w:ascii="Arial" w:hAnsi="Arial" w:cs="Arial"/>
          <w:b/>
          <w:i/>
        </w:rPr>
        <w:t>biogospodarstvo</w:t>
      </w:r>
      <w:proofErr w:type="spellEnd"/>
      <w:r w:rsidRPr="000B5080">
        <w:rPr>
          <w:rFonts w:ascii="Arial" w:hAnsi="Arial" w:cs="Arial"/>
          <w:b/>
          <w:i/>
        </w:rPr>
        <w:t>. Od teh je 334 okvirov objavljenih v obliki dokumentov, kot so strategije, akcijski načrti in načrti, preostali pa so v fazi razvoja. Slovenija</w:t>
      </w:r>
      <w:r w:rsidR="00561028">
        <w:rPr>
          <w:rFonts w:ascii="Arial" w:hAnsi="Arial" w:cs="Arial"/>
          <w:b/>
          <w:i/>
        </w:rPr>
        <w:t xml:space="preserve"> po podatkih analitikov Središča znanja</w:t>
      </w:r>
      <w:r w:rsidRPr="000B5080">
        <w:rPr>
          <w:rFonts w:ascii="Arial" w:hAnsi="Arial" w:cs="Arial"/>
          <w:b/>
          <w:i/>
        </w:rPr>
        <w:t xml:space="preserve"> </w:t>
      </w:r>
      <w:r w:rsidR="00561028">
        <w:rPr>
          <w:rFonts w:ascii="Arial" w:hAnsi="Arial" w:cs="Arial"/>
          <w:b/>
          <w:i/>
        </w:rPr>
        <w:t xml:space="preserve">za </w:t>
      </w:r>
      <w:proofErr w:type="spellStart"/>
      <w:r w:rsidR="00561028">
        <w:rPr>
          <w:rFonts w:ascii="Arial" w:hAnsi="Arial" w:cs="Arial"/>
          <w:b/>
          <w:i/>
        </w:rPr>
        <w:t>biogospodarstvo</w:t>
      </w:r>
      <w:proofErr w:type="spellEnd"/>
      <w:r w:rsidR="00561028">
        <w:rPr>
          <w:rFonts w:ascii="Arial" w:hAnsi="Arial" w:cs="Arial"/>
          <w:b/>
          <w:i/>
        </w:rPr>
        <w:t xml:space="preserve"> </w:t>
      </w:r>
      <w:r w:rsidR="000B5080" w:rsidRPr="000B5080">
        <w:rPr>
          <w:rFonts w:ascii="Arial" w:hAnsi="Arial" w:cs="Arial"/>
          <w:b/>
          <w:i/>
        </w:rPr>
        <w:t>nima</w:t>
      </w:r>
      <w:r w:rsidRPr="000B5080">
        <w:rPr>
          <w:rFonts w:ascii="Arial" w:hAnsi="Arial" w:cs="Arial"/>
          <w:b/>
          <w:i/>
        </w:rPr>
        <w:t xml:space="preserve"> </w:t>
      </w:r>
      <w:r w:rsidR="000B5080" w:rsidRPr="000B5080">
        <w:rPr>
          <w:rFonts w:ascii="Arial" w:hAnsi="Arial" w:cs="Arial"/>
          <w:b/>
          <w:i/>
        </w:rPr>
        <w:t xml:space="preserve">regionalne </w:t>
      </w:r>
      <w:r w:rsidRPr="000B5080">
        <w:rPr>
          <w:rFonts w:ascii="Arial" w:hAnsi="Arial" w:cs="Arial"/>
          <w:b/>
          <w:i/>
        </w:rPr>
        <w:t xml:space="preserve">strategije za </w:t>
      </w:r>
      <w:proofErr w:type="spellStart"/>
      <w:r w:rsidRPr="000B5080">
        <w:rPr>
          <w:rFonts w:ascii="Arial" w:hAnsi="Arial" w:cs="Arial"/>
          <w:b/>
          <w:i/>
        </w:rPr>
        <w:t>biogospodarstvo</w:t>
      </w:r>
      <w:proofErr w:type="spellEnd"/>
      <w:r w:rsidRPr="000B5080">
        <w:rPr>
          <w:rFonts w:ascii="Arial" w:hAnsi="Arial" w:cs="Arial"/>
          <w:sz w:val="20"/>
          <w:szCs w:val="20"/>
        </w:rPr>
        <w:t>.</w:t>
      </w:r>
    </w:p>
    <w:p w:rsidR="007108AE" w:rsidRDefault="002A54AE" w:rsidP="000B5080">
      <w:pPr>
        <w:jc w:val="both"/>
        <w:rPr>
          <w:rFonts w:ascii="Arial" w:hAnsi="Arial" w:cs="Arial"/>
          <w:sz w:val="20"/>
          <w:szCs w:val="20"/>
        </w:rPr>
      </w:pPr>
      <w:r w:rsidRPr="000B5080">
        <w:rPr>
          <w:rFonts w:ascii="Arial" w:hAnsi="Arial" w:cs="Arial"/>
          <w:sz w:val="20"/>
          <w:szCs w:val="20"/>
        </w:rPr>
        <w:t xml:space="preserve">V nekaterih regijah hkrati izvajajo več strategij, ki obravnavajo različne sektorje, od proizvodnje energije na biološki osnovi ali recikliranja organskih odpadkov do predelave kmetijskih ostankov. </w:t>
      </w:r>
      <w:r w:rsidR="000524AC" w:rsidRPr="000B5080">
        <w:rPr>
          <w:rFonts w:ascii="Arial" w:hAnsi="Arial" w:cs="Arial"/>
          <w:sz w:val="20"/>
          <w:szCs w:val="20"/>
        </w:rPr>
        <w:t>T</w:t>
      </w:r>
      <w:r w:rsidRPr="000B5080">
        <w:rPr>
          <w:rFonts w:ascii="Arial" w:hAnsi="Arial" w:cs="Arial"/>
          <w:sz w:val="20"/>
          <w:szCs w:val="20"/>
        </w:rPr>
        <w:t xml:space="preserve">o, ali ima regija </w:t>
      </w:r>
      <w:r w:rsidR="000524AC" w:rsidRPr="000B5080">
        <w:rPr>
          <w:rFonts w:ascii="Arial" w:hAnsi="Arial" w:cs="Arial"/>
          <w:sz w:val="20"/>
          <w:szCs w:val="20"/>
        </w:rPr>
        <w:t xml:space="preserve">svojo </w:t>
      </w:r>
      <w:r w:rsidRPr="000B5080">
        <w:rPr>
          <w:rFonts w:ascii="Arial" w:hAnsi="Arial" w:cs="Arial"/>
          <w:sz w:val="20"/>
          <w:szCs w:val="20"/>
        </w:rPr>
        <w:t xml:space="preserve">strategijo za </w:t>
      </w:r>
      <w:proofErr w:type="spellStart"/>
      <w:r w:rsidRPr="000B5080">
        <w:rPr>
          <w:rFonts w:ascii="Arial" w:hAnsi="Arial" w:cs="Arial"/>
          <w:sz w:val="20"/>
          <w:szCs w:val="20"/>
        </w:rPr>
        <w:t>biogospodarstvo</w:t>
      </w:r>
      <w:proofErr w:type="spellEnd"/>
      <w:r w:rsidRPr="000B5080">
        <w:rPr>
          <w:rFonts w:ascii="Arial" w:hAnsi="Arial" w:cs="Arial"/>
          <w:sz w:val="20"/>
          <w:szCs w:val="20"/>
        </w:rPr>
        <w:t xml:space="preserve">, je odvisno predvsem od dveh dejavnikov. </w:t>
      </w:r>
    </w:p>
    <w:p w:rsidR="002A54AE" w:rsidRPr="000B5080" w:rsidRDefault="000524AC" w:rsidP="000B5080">
      <w:pPr>
        <w:jc w:val="both"/>
        <w:rPr>
          <w:rFonts w:ascii="Arial" w:hAnsi="Arial" w:cs="Arial"/>
          <w:sz w:val="20"/>
          <w:szCs w:val="20"/>
        </w:rPr>
      </w:pPr>
      <w:r w:rsidRPr="000B5080">
        <w:rPr>
          <w:rFonts w:ascii="Arial" w:hAnsi="Arial" w:cs="Arial"/>
          <w:sz w:val="20"/>
          <w:szCs w:val="20"/>
        </w:rPr>
        <w:t>Večja verjetnost za to, da jo ima, je v velikih in decentraliziranih državah</w:t>
      </w:r>
      <w:r w:rsidR="002A54AE" w:rsidRPr="000B5080">
        <w:rPr>
          <w:rFonts w:ascii="Arial" w:hAnsi="Arial" w:cs="Arial"/>
          <w:sz w:val="20"/>
          <w:szCs w:val="20"/>
        </w:rPr>
        <w:t xml:space="preserve">. </w:t>
      </w:r>
      <w:r w:rsidRPr="000B5080">
        <w:rPr>
          <w:rFonts w:ascii="Arial" w:hAnsi="Arial" w:cs="Arial"/>
          <w:sz w:val="20"/>
          <w:szCs w:val="20"/>
        </w:rPr>
        <w:t>Če</w:t>
      </w:r>
      <w:r w:rsidR="002A54AE" w:rsidRPr="000B5080">
        <w:rPr>
          <w:rFonts w:ascii="Arial" w:hAnsi="Arial" w:cs="Arial"/>
          <w:sz w:val="20"/>
          <w:szCs w:val="20"/>
        </w:rPr>
        <w:t xml:space="preserve"> </w:t>
      </w:r>
      <w:r w:rsidRPr="000B5080">
        <w:rPr>
          <w:rFonts w:ascii="Arial" w:hAnsi="Arial" w:cs="Arial"/>
          <w:sz w:val="20"/>
          <w:szCs w:val="20"/>
        </w:rPr>
        <w:t xml:space="preserve">ima država </w:t>
      </w:r>
      <w:r w:rsidR="002A54AE" w:rsidRPr="000B5080">
        <w:rPr>
          <w:rFonts w:ascii="Arial" w:hAnsi="Arial" w:cs="Arial"/>
          <w:sz w:val="20"/>
          <w:szCs w:val="20"/>
        </w:rPr>
        <w:t>strategij</w:t>
      </w:r>
      <w:r w:rsidRPr="000B5080">
        <w:rPr>
          <w:rFonts w:ascii="Arial" w:hAnsi="Arial" w:cs="Arial"/>
          <w:sz w:val="20"/>
          <w:szCs w:val="20"/>
        </w:rPr>
        <w:t>o</w:t>
      </w:r>
      <w:r w:rsidR="002A54AE" w:rsidRPr="000B5080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2A54AE" w:rsidRPr="000B5080">
        <w:rPr>
          <w:rFonts w:ascii="Arial" w:hAnsi="Arial" w:cs="Arial"/>
          <w:sz w:val="20"/>
          <w:szCs w:val="20"/>
        </w:rPr>
        <w:t>biogospodarstvo</w:t>
      </w:r>
      <w:proofErr w:type="spellEnd"/>
      <w:r w:rsidR="002A54AE" w:rsidRPr="000B5080">
        <w:rPr>
          <w:rFonts w:ascii="Arial" w:hAnsi="Arial" w:cs="Arial"/>
          <w:sz w:val="20"/>
          <w:szCs w:val="20"/>
        </w:rPr>
        <w:t xml:space="preserve"> na nacionalni ravni, </w:t>
      </w:r>
      <w:r w:rsidRPr="000B5080">
        <w:rPr>
          <w:rFonts w:ascii="Arial" w:hAnsi="Arial" w:cs="Arial"/>
          <w:sz w:val="20"/>
          <w:szCs w:val="20"/>
        </w:rPr>
        <w:t>jo je mogoče uporabljati</w:t>
      </w:r>
      <w:r w:rsidR="002A54AE" w:rsidRPr="000B5080">
        <w:rPr>
          <w:rFonts w:ascii="Arial" w:hAnsi="Arial" w:cs="Arial"/>
          <w:sz w:val="20"/>
          <w:szCs w:val="20"/>
        </w:rPr>
        <w:t xml:space="preserve"> tudi za regionalne in lokalne ukrepe, </w:t>
      </w:r>
      <w:r w:rsidRPr="000B5080">
        <w:rPr>
          <w:rFonts w:ascii="Arial" w:hAnsi="Arial" w:cs="Arial"/>
          <w:sz w:val="20"/>
          <w:szCs w:val="20"/>
        </w:rPr>
        <w:t>zato so potrebe po</w:t>
      </w:r>
      <w:r w:rsidR="002A54AE" w:rsidRPr="000B5080">
        <w:rPr>
          <w:rFonts w:ascii="Arial" w:hAnsi="Arial" w:cs="Arial"/>
          <w:sz w:val="20"/>
          <w:szCs w:val="20"/>
        </w:rPr>
        <w:t xml:space="preserve"> strategij</w:t>
      </w:r>
      <w:r w:rsidRPr="000B5080">
        <w:rPr>
          <w:rFonts w:ascii="Arial" w:hAnsi="Arial" w:cs="Arial"/>
          <w:sz w:val="20"/>
          <w:szCs w:val="20"/>
        </w:rPr>
        <w:t>i</w:t>
      </w:r>
      <w:r w:rsidR="002A54AE" w:rsidRPr="000B5080">
        <w:rPr>
          <w:rFonts w:ascii="Arial" w:hAnsi="Arial" w:cs="Arial"/>
          <w:sz w:val="20"/>
          <w:szCs w:val="20"/>
        </w:rPr>
        <w:t xml:space="preserve"> na regionalni ravni</w:t>
      </w:r>
      <w:r w:rsidRPr="000B5080">
        <w:rPr>
          <w:rFonts w:ascii="Arial" w:hAnsi="Arial" w:cs="Arial"/>
          <w:sz w:val="20"/>
          <w:szCs w:val="20"/>
        </w:rPr>
        <w:t xml:space="preserve"> manjše</w:t>
      </w:r>
      <w:r w:rsidR="002A54AE" w:rsidRPr="000B5080">
        <w:rPr>
          <w:rFonts w:ascii="Arial" w:hAnsi="Arial" w:cs="Arial"/>
          <w:sz w:val="20"/>
          <w:szCs w:val="20"/>
        </w:rPr>
        <w:t>.</w:t>
      </w:r>
    </w:p>
    <w:p w:rsidR="000524AC" w:rsidRPr="000B5080" w:rsidRDefault="000524AC" w:rsidP="000B5080">
      <w:pPr>
        <w:jc w:val="both"/>
        <w:rPr>
          <w:rFonts w:ascii="Arial" w:hAnsi="Arial" w:cs="Arial"/>
          <w:sz w:val="20"/>
          <w:szCs w:val="20"/>
        </w:rPr>
      </w:pPr>
      <w:r w:rsidRPr="000B5080">
        <w:rPr>
          <w:rFonts w:ascii="Arial" w:hAnsi="Arial" w:cs="Arial"/>
          <w:sz w:val="20"/>
          <w:szCs w:val="20"/>
        </w:rPr>
        <w:t>A tudi če ima država nacionalno strategijo, lahko imajo regije svoje regionalne okvirje, v katerih podrobneje opredelijo ukrepe in se osredotočajo na svoje posebnosti.</w:t>
      </w:r>
    </w:p>
    <w:p w:rsidR="001425D4" w:rsidRDefault="001425D4" w:rsidP="000B5080">
      <w:pPr>
        <w:jc w:val="both"/>
        <w:rPr>
          <w:rFonts w:ascii="Arial" w:hAnsi="Arial" w:cs="Arial"/>
          <w:sz w:val="20"/>
          <w:szCs w:val="20"/>
        </w:rPr>
      </w:pPr>
    </w:p>
    <w:p w:rsidR="001425D4" w:rsidRDefault="001425D4" w:rsidP="000B5080">
      <w:pPr>
        <w:jc w:val="both"/>
        <w:rPr>
          <w:rFonts w:ascii="Arial" w:hAnsi="Arial" w:cs="Arial"/>
          <w:sz w:val="20"/>
          <w:szCs w:val="20"/>
        </w:rPr>
      </w:pPr>
    </w:p>
    <w:p w:rsidR="001425D4" w:rsidRDefault="001425D4" w:rsidP="000B5080">
      <w:pPr>
        <w:jc w:val="both"/>
        <w:rPr>
          <w:rFonts w:ascii="Arial" w:hAnsi="Arial" w:cs="Arial"/>
          <w:sz w:val="20"/>
          <w:szCs w:val="20"/>
        </w:rPr>
      </w:pPr>
    </w:p>
    <w:p w:rsidR="001425D4" w:rsidRDefault="001425D4" w:rsidP="000B5080">
      <w:pPr>
        <w:jc w:val="both"/>
        <w:rPr>
          <w:rFonts w:ascii="Arial" w:hAnsi="Arial" w:cs="Arial"/>
          <w:sz w:val="20"/>
          <w:szCs w:val="20"/>
        </w:rPr>
      </w:pPr>
    </w:p>
    <w:p w:rsidR="001425D4" w:rsidRDefault="001425D4" w:rsidP="000B5080">
      <w:pPr>
        <w:jc w:val="both"/>
        <w:rPr>
          <w:rFonts w:ascii="Arial" w:hAnsi="Arial" w:cs="Arial"/>
          <w:sz w:val="20"/>
          <w:szCs w:val="20"/>
        </w:rPr>
      </w:pPr>
    </w:p>
    <w:p w:rsidR="001425D4" w:rsidRDefault="001425D4" w:rsidP="000B5080">
      <w:pPr>
        <w:jc w:val="both"/>
        <w:rPr>
          <w:rFonts w:ascii="Arial" w:hAnsi="Arial" w:cs="Arial"/>
          <w:sz w:val="20"/>
          <w:szCs w:val="20"/>
        </w:rPr>
      </w:pPr>
    </w:p>
    <w:p w:rsidR="001425D4" w:rsidRDefault="001425D4" w:rsidP="000B5080">
      <w:pPr>
        <w:jc w:val="both"/>
        <w:rPr>
          <w:rFonts w:ascii="Arial" w:hAnsi="Arial" w:cs="Arial"/>
          <w:sz w:val="20"/>
          <w:szCs w:val="20"/>
        </w:rPr>
      </w:pPr>
    </w:p>
    <w:p w:rsidR="001425D4" w:rsidRDefault="001425D4" w:rsidP="000B5080">
      <w:pPr>
        <w:jc w:val="both"/>
        <w:rPr>
          <w:rFonts w:ascii="Arial" w:hAnsi="Arial" w:cs="Arial"/>
          <w:sz w:val="20"/>
          <w:szCs w:val="20"/>
        </w:rPr>
      </w:pPr>
    </w:p>
    <w:p w:rsidR="001425D4" w:rsidRDefault="001425D4" w:rsidP="000B5080">
      <w:pPr>
        <w:jc w:val="both"/>
        <w:rPr>
          <w:rFonts w:ascii="Arial" w:hAnsi="Arial" w:cs="Arial"/>
          <w:sz w:val="20"/>
          <w:szCs w:val="20"/>
        </w:rPr>
      </w:pPr>
    </w:p>
    <w:p w:rsidR="002A54AE" w:rsidRPr="001425D4" w:rsidRDefault="002A54AE" w:rsidP="000B5080">
      <w:pPr>
        <w:jc w:val="both"/>
        <w:rPr>
          <w:rFonts w:ascii="Arial" w:hAnsi="Arial" w:cs="Arial"/>
          <w:b/>
          <w:sz w:val="20"/>
          <w:szCs w:val="20"/>
        </w:rPr>
      </w:pPr>
      <w:r w:rsidRPr="001425D4">
        <w:rPr>
          <w:rFonts w:ascii="Arial" w:hAnsi="Arial" w:cs="Arial"/>
          <w:b/>
          <w:sz w:val="20"/>
          <w:szCs w:val="20"/>
        </w:rPr>
        <w:t xml:space="preserve">Slika1: Prikaz regij s strategijami, pomembnimi za </w:t>
      </w:r>
      <w:proofErr w:type="spellStart"/>
      <w:r w:rsidRPr="001425D4">
        <w:rPr>
          <w:rFonts w:ascii="Arial" w:hAnsi="Arial" w:cs="Arial"/>
          <w:b/>
          <w:sz w:val="20"/>
          <w:szCs w:val="20"/>
        </w:rPr>
        <w:t>biogospodarstvo</w:t>
      </w:r>
      <w:proofErr w:type="spellEnd"/>
    </w:p>
    <w:p w:rsidR="002A54AE" w:rsidRPr="000B5080" w:rsidRDefault="002A54AE" w:rsidP="000B5080">
      <w:pPr>
        <w:jc w:val="both"/>
        <w:rPr>
          <w:rFonts w:ascii="Arial" w:hAnsi="Arial" w:cs="Arial"/>
          <w:sz w:val="20"/>
          <w:szCs w:val="20"/>
        </w:rPr>
      </w:pPr>
      <w:r w:rsidRPr="000B5080">
        <w:rPr>
          <w:rFonts w:ascii="Arial" w:hAnsi="Arial" w:cs="Arial"/>
          <w:sz w:val="20"/>
          <w:szCs w:val="20"/>
        </w:rPr>
        <w:drawing>
          <wp:inline distT="0" distB="0" distL="0" distR="0">
            <wp:extent cx="5760720" cy="5760720"/>
            <wp:effectExtent l="19050" t="0" r="0" b="0"/>
            <wp:docPr id="1" name="Slika 1" descr="EU map illustrating the presence of bioeconomy strateg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 map illustrating the presence of bioeconomy strategi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4AE" w:rsidRPr="000B5080" w:rsidRDefault="002A54AE" w:rsidP="000B5080">
      <w:pPr>
        <w:jc w:val="both"/>
        <w:rPr>
          <w:rFonts w:ascii="Arial" w:hAnsi="Arial" w:cs="Arial"/>
          <w:sz w:val="20"/>
          <w:szCs w:val="20"/>
        </w:rPr>
      </w:pPr>
      <w:r w:rsidRPr="000B5080">
        <w:rPr>
          <w:rFonts w:ascii="Arial" w:hAnsi="Arial" w:cs="Arial"/>
          <w:sz w:val="20"/>
          <w:szCs w:val="20"/>
        </w:rPr>
        <w:t xml:space="preserve">Vir: Središče znanja za </w:t>
      </w:r>
      <w:proofErr w:type="spellStart"/>
      <w:r w:rsidRPr="000B5080">
        <w:rPr>
          <w:rFonts w:ascii="Arial" w:hAnsi="Arial" w:cs="Arial"/>
          <w:sz w:val="20"/>
          <w:szCs w:val="20"/>
        </w:rPr>
        <w:t>biogospodarstvo</w:t>
      </w:r>
      <w:proofErr w:type="spellEnd"/>
    </w:p>
    <w:p w:rsidR="000524AC" w:rsidRPr="001425D4" w:rsidRDefault="000524AC" w:rsidP="000B5080">
      <w:pPr>
        <w:jc w:val="both"/>
        <w:rPr>
          <w:rFonts w:ascii="Arial" w:hAnsi="Arial" w:cs="Arial"/>
          <w:b/>
          <w:sz w:val="20"/>
          <w:szCs w:val="20"/>
        </w:rPr>
      </w:pPr>
      <w:r w:rsidRPr="001425D4">
        <w:rPr>
          <w:rFonts w:ascii="Arial" w:hAnsi="Arial" w:cs="Arial"/>
          <w:b/>
          <w:sz w:val="20"/>
          <w:szCs w:val="20"/>
        </w:rPr>
        <w:t>Koristne informacije:</w:t>
      </w:r>
    </w:p>
    <w:p w:rsidR="000524AC" w:rsidRPr="001425D4" w:rsidRDefault="000524AC" w:rsidP="001425D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425D4">
        <w:rPr>
          <w:rFonts w:ascii="Arial" w:hAnsi="Arial" w:cs="Arial"/>
          <w:sz w:val="20"/>
          <w:szCs w:val="20"/>
        </w:rPr>
        <w:t>Študija:</w:t>
      </w:r>
    </w:p>
    <w:p w:rsidR="000524AC" w:rsidRPr="001425D4" w:rsidRDefault="000524AC" w:rsidP="001425D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1425D4">
          <w:rPr>
            <w:rStyle w:val="Hiperpovezava"/>
            <w:rFonts w:ascii="Arial" w:hAnsi="Arial" w:cs="Arial"/>
            <w:sz w:val="20"/>
            <w:szCs w:val="20"/>
          </w:rPr>
          <w:t>https://publications.jrc.ec.europa.eu/repository/handle/JRC128740</w:t>
        </w:r>
      </w:hyperlink>
    </w:p>
    <w:p w:rsidR="000524AC" w:rsidRPr="001425D4" w:rsidRDefault="00E7419D" w:rsidP="001425D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425D4">
        <w:rPr>
          <w:rFonts w:ascii="Arial" w:hAnsi="Arial" w:cs="Arial"/>
          <w:sz w:val="20"/>
          <w:szCs w:val="20"/>
        </w:rPr>
        <w:t xml:space="preserve">Spletna stran z informacijami o strategiji EU za </w:t>
      </w:r>
      <w:proofErr w:type="spellStart"/>
      <w:r w:rsidRPr="001425D4">
        <w:rPr>
          <w:rFonts w:ascii="Arial" w:hAnsi="Arial" w:cs="Arial"/>
          <w:sz w:val="20"/>
          <w:szCs w:val="20"/>
        </w:rPr>
        <w:t>bio</w:t>
      </w:r>
      <w:r w:rsidR="006A5CA5">
        <w:rPr>
          <w:rFonts w:ascii="Arial" w:hAnsi="Arial" w:cs="Arial"/>
          <w:sz w:val="20"/>
          <w:szCs w:val="20"/>
        </w:rPr>
        <w:t>gospodarstvo</w:t>
      </w:r>
      <w:proofErr w:type="spellEnd"/>
      <w:r w:rsidRPr="001425D4">
        <w:rPr>
          <w:rFonts w:ascii="Arial" w:hAnsi="Arial" w:cs="Arial"/>
          <w:sz w:val="20"/>
          <w:szCs w:val="20"/>
        </w:rPr>
        <w:t>:</w:t>
      </w:r>
    </w:p>
    <w:p w:rsidR="00E7419D" w:rsidRPr="001425D4" w:rsidRDefault="00E7419D" w:rsidP="001425D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1425D4">
          <w:rPr>
            <w:rStyle w:val="Hiperpovezava"/>
            <w:rFonts w:ascii="Arial" w:hAnsi="Arial" w:cs="Arial"/>
            <w:sz w:val="20"/>
            <w:szCs w:val="20"/>
          </w:rPr>
          <w:t>https://research-and-innovation.ec.europa.eu/research-area/environment/bioeconomy/bioeconomy-strategy_sl</w:t>
        </w:r>
      </w:hyperlink>
    </w:p>
    <w:p w:rsidR="00E7419D" w:rsidRPr="000B5080" w:rsidRDefault="00E7419D" w:rsidP="001425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5080">
        <w:rPr>
          <w:rFonts w:ascii="Arial" w:hAnsi="Arial" w:cs="Arial"/>
          <w:sz w:val="20"/>
          <w:szCs w:val="20"/>
        </w:rPr>
        <w:t>Pripravila:</w:t>
      </w:r>
    </w:p>
    <w:p w:rsidR="00E7419D" w:rsidRPr="000B5080" w:rsidRDefault="00E7419D" w:rsidP="001425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5080">
        <w:rPr>
          <w:rFonts w:ascii="Arial" w:hAnsi="Arial" w:cs="Arial"/>
          <w:sz w:val="20"/>
          <w:szCs w:val="20"/>
        </w:rPr>
        <w:t>Darja Kocbek</w:t>
      </w:r>
    </w:p>
    <w:sectPr w:rsidR="00E7419D" w:rsidRPr="000B5080" w:rsidSect="00AA4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695F"/>
    <w:multiLevelType w:val="hybridMultilevel"/>
    <w:tmpl w:val="67300C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2A54AE"/>
    <w:rsid w:val="00042A00"/>
    <w:rsid w:val="000524AC"/>
    <w:rsid w:val="000B5080"/>
    <w:rsid w:val="001425D4"/>
    <w:rsid w:val="002A54AE"/>
    <w:rsid w:val="00561028"/>
    <w:rsid w:val="006A5CA5"/>
    <w:rsid w:val="007108AE"/>
    <w:rsid w:val="00AA4FC4"/>
    <w:rsid w:val="00E74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A4FC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42A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A54AE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54AE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42A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1425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-and-innovation.ec.europa.eu/research-area/environment/bioeconomy/bioeconomy-strategy_s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cations.jrc.ec.europa.eu/repository/handle/JRC1287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2022-10-14T19:24:00Z</dcterms:created>
  <dcterms:modified xsi:type="dcterms:W3CDTF">2022-10-14T19:48:00Z</dcterms:modified>
</cp:coreProperties>
</file>