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51" w:rsidRDefault="00C41551" w:rsidP="00C41551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551" w:rsidRDefault="00C41551" w:rsidP="00C41551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C41551" w:rsidRDefault="00C41551" w:rsidP="00C4155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41551" w:rsidRDefault="00C41551" w:rsidP="00C41551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162 - 2016</w:t>
      </w:r>
    </w:p>
    <w:p w:rsidR="00C41551" w:rsidRPr="009A2F0F" w:rsidRDefault="00C41551" w:rsidP="00C41551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14. november 2016</w:t>
      </w:r>
    </w:p>
    <w:p w:rsidR="00C41551" w:rsidRDefault="00C41551" w:rsidP="00C4155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Napoved razpisa EU za razdelitev sredstev za promocijo evropskih kmetijskih izdelkov v letu 2017</w:t>
      </w:r>
    </w:p>
    <w:p w:rsidR="00B459D4" w:rsidRPr="00E84736" w:rsidRDefault="00F63026" w:rsidP="00E8473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</w:t>
      </w:r>
      <w:r w:rsidRPr="00E84736">
        <w:rPr>
          <w:rFonts w:ascii="Arial" w:hAnsi="Arial" w:cs="Arial"/>
          <w:b/>
          <w:i/>
        </w:rPr>
        <w:t xml:space="preserve"> letu 2017 </w:t>
      </w:r>
      <w:r>
        <w:rPr>
          <w:rFonts w:ascii="Arial" w:hAnsi="Arial" w:cs="Arial"/>
          <w:b/>
          <w:i/>
        </w:rPr>
        <w:t xml:space="preserve">bo </w:t>
      </w:r>
      <w:r w:rsidRPr="00E84736">
        <w:rPr>
          <w:rFonts w:ascii="Arial" w:hAnsi="Arial" w:cs="Arial"/>
          <w:b/>
          <w:i/>
        </w:rPr>
        <w:t xml:space="preserve">za promocijo </w:t>
      </w:r>
      <w:r>
        <w:rPr>
          <w:rFonts w:ascii="Arial" w:hAnsi="Arial" w:cs="Arial"/>
          <w:b/>
          <w:i/>
        </w:rPr>
        <w:t>kmetijskih</w:t>
      </w:r>
      <w:r w:rsidRPr="00E84736">
        <w:rPr>
          <w:rFonts w:ascii="Arial" w:hAnsi="Arial" w:cs="Arial"/>
          <w:b/>
          <w:i/>
        </w:rPr>
        <w:t xml:space="preserve"> izdelkov v EU in zunaj nje ter za iskanje novih trgov na voljo 133 milijonov evrov evropskih sredstev, kar je 22 milijonov evrov več kot letos. </w:t>
      </w:r>
      <w:r w:rsidR="00F2390F" w:rsidRPr="00E84736">
        <w:rPr>
          <w:rFonts w:ascii="Arial" w:hAnsi="Arial" w:cs="Arial"/>
          <w:b/>
          <w:i/>
        </w:rPr>
        <w:t xml:space="preserve">To piše v </w:t>
      </w:r>
      <w:r w:rsidR="00E84736" w:rsidRPr="00E84736">
        <w:rPr>
          <w:rFonts w:ascii="Arial" w:hAnsi="Arial" w:cs="Arial"/>
          <w:b/>
          <w:i/>
        </w:rPr>
        <w:t>letnem programu za promocijo</w:t>
      </w:r>
      <w:r w:rsidR="00F2390F" w:rsidRPr="00E84736">
        <w:rPr>
          <w:rFonts w:ascii="Arial" w:hAnsi="Arial" w:cs="Arial"/>
          <w:b/>
          <w:i/>
        </w:rPr>
        <w:t xml:space="preserve"> za leto 2017, ki </w:t>
      </w:r>
      <w:r>
        <w:rPr>
          <w:rFonts w:ascii="Arial" w:hAnsi="Arial" w:cs="Arial"/>
          <w:b/>
          <w:i/>
        </w:rPr>
        <w:t>ga</w:t>
      </w:r>
      <w:r w:rsidR="00F2390F" w:rsidRPr="00E84736">
        <w:rPr>
          <w:rFonts w:ascii="Arial" w:hAnsi="Arial" w:cs="Arial"/>
          <w:b/>
          <w:i/>
        </w:rPr>
        <w:t xml:space="preserve"> je sprejela Evropska komisija. </w:t>
      </w:r>
      <w:r w:rsidR="0057577D" w:rsidRPr="00E84736">
        <w:rPr>
          <w:rFonts w:ascii="Arial" w:hAnsi="Arial" w:cs="Arial"/>
          <w:b/>
          <w:i/>
        </w:rPr>
        <w:t xml:space="preserve"> </w:t>
      </w:r>
      <w:r w:rsidR="00942563" w:rsidRPr="00E84736">
        <w:rPr>
          <w:rFonts w:ascii="Arial" w:hAnsi="Arial" w:cs="Arial"/>
          <w:b/>
          <w:i/>
        </w:rPr>
        <w:t>Večina tega denarja bo namenjena za promocijo na Kitajskem, Bližnjem vzhodu, Severni Ameriki, Jugovzhodni Aziji in na Japonskem. Razpis za razdelitev omenjenih sredstev bo predvidoma objavljen najkasneje januarja 2017.</w:t>
      </w:r>
    </w:p>
    <w:p w:rsidR="00942563" w:rsidRPr="00E84736" w:rsidRDefault="00942563" w:rsidP="00E84736">
      <w:pPr>
        <w:rPr>
          <w:rFonts w:ascii="Arial" w:hAnsi="Arial" w:cs="Arial"/>
          <w:sz w:val="20"/>
          <w:szCs w:val="20"/>
        </w:rPr>
      </w:pPr>
      <w:r w:rsidRPr="00E84736">
        <w:rPr>
          <w:rFonts w:ascii="Arial" w:hAnsi="Arial" w:cs="Arial"/>
          <w:sz w:val="20"/>
          <w:szCs w:val="20"/>
        </w:rPr>
        <w:t>Izbrane programe, ki večinoma trajajo tri leta, bo Evropska komisija sofinancirala po stopnjah med 70 in 85 odstotkov. Zagotovila bo tehnično pomoč organizacijam, ki bodo sodelovale v izbranih programih, tovrstno pomoč bo mogoče dobiti tudi za pripravo kampanj ali razvoj aktivnosti na izvoznih trgih.</w:t>
      </w:r>
    </w:p>
    <w:p w:rsidR="00942563" w:rsidRPr="00E84736" w:rsidRDefault="00942563" w:rsidP="00E84736">
      <w:pPr>
        <w:rPr>
          <w:rFonts w:ascii="Arial" w:hAnsi="Arial" w:cs="Arial"/>
          <w:b/>
          <w:sz w:val="20"/>
          <w:szCs w:val="20"/>
        </w:rPr>
      </w:pPr>
      <w:r w:rsidRPr="00E84736">
        <w:rPr>
          <w:rFonts w:ascii="Arial" w:hAnsi="Arial" w:cs="Arial"/>
          <w:b/>
          <w:sz w:val="20"/>
          <w:szCs w:val="20"/>
        </w:rPr>
        <w:t>Slika 1: Stopnje sofinanciranja izbranih programov</w:t>
      </w:r>
    </w:p>
    <w:p w:rsidR="00942563" w:rsidRPr="00E84736" w:rsidRDefault="00942563" w:rsidP="00E84736">
      <w:pPr>
        <w:rPr>
          <w:rFonts w:ascii="Arial" w:hAnsi="Arial" w:cs="Arial"/>
          <w:sz w:val="20"/>
          <w:szCs w:val="20"/>
        </w:rPr>
      </w:pPr>
      <w:r w:rsidRPr="00E84736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5760720" cy="1498593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563" w:rsidRPr="00E84736" w:rsidRDefault="00942563" w:rsidP="00E84736">
      <w:pPr>
        <w:rPr>
          <w:rFonts w:ascii="Arial" w:hAnsi="Arial" w:cs="Arial"/>
          <w:sz w:val="20"/>
          <w:szCs w:val="20"/>
        </w:rPr>
      </w:pPr>
      <w:r w:rsidRPr="00E84736">
        <w:rPr>
          <w:rFonts w:ascii="Arial" w:hAnsi="Arial" w:cs="Arial"/>
          <w:sz w:val="20"/>
          <w:szCs w:val="20"/>
        </w:rPr>
        <w:t>Vir: Evropska komisija</w:t>
      </w:r>
    </w:p>
    <w:p w:rsidR="00C41551" w:rsidRDefault="00C41551" w:rsidP="00E84736">
      <w:pPr>
        <w:rPr>
          <w:rFonts w:ascii="Arial" w:hAnsi="Arial" w:cs="Arial"/>
          <w:b/>
          <w:sz w:val="20"/>
          <w:szCs w:val="20"/>
        </w:rPr>
      </w:pPr>
    </w:p>
    <w:p w:rsidR="00C41551" w:rsidRDefault="00C41551" w:rsidP="00E84736">
      <w:pPr>
        <w:rPr>
          <w:rFonts w:ascii="Arial" w:hAnsi="Arial" w:cs="Arial"/>
          <w:b/>
          <w:sz w:val="20"/>
          <w:szCs w:val="20"/>
        </w:rPr>
      </w:pPr>
    </w:p>
    <w:p w:rsidR="00C41551" w:rsidRDefault="00C41551" w:rsidP="00E84736">
      <w:pPr>
        <w:rPr>
          <w:rFonts w:ascii="Arial" w:hAnsi="Arial" w:cs="Arial"/>
          <w:b/>
          <w:sz w:val="20"/>
          <w:szCs w:val="20"/>
        </w:rPr>
      </w:pPr>
    </w:p>
    <w:p w:rsidR="00C41551" w:rsidRDefault="00C41551" w:rsidP="00E84736">
      <w:pPr>
        <w:rPr>
          <w:rFonts w:ascii="Arial" w:hAnsi="Arial" w:cs="Arial"/>
          <w:b/>
          <w:sz w:val="20"/>
          <w:szCs w:val="20"/>
        </w:rPr>
      </w:pPr>
    </w:p>
    <w:p w:rsidR="00677FA9" w:rsidRDefault="00677FA9" w:rsidP="00E84736">
      <w:pPr>
        <w:rPr>
          <w:rFonts w:ascii="Arial" w:hAnsi="Arial" w:cs="Arial"/>
          <w:b/>
          <w:sz w:val="20"/>
          <w:szCs w:val="20"/>
        </w:rPr>
      </w:pPr>
    </w:p>
    <w:p w:rsidR="00942563" w:rsidRPr="00E84736" w:rsidRDefault="00942563" w:rsidP="00E84736">
      <w:pPr>
        <w:rPr>
          <w:rFonts w:ascii="Arial" w:hAnsi="Arial" w:cs="Arial"/>
          <w:b/>
          <w:sz w:val="20"/>
          <w:szCs w:val="20"/>
        </w:rPr>
      </w:pPr>
      <w:r w:rsidRPr="00E84736">
        <w:rPr>
          <w:rFonts w:ascii="Arial" w:hAnsi="Arial" w:cs="Arial"/>
          <w:b/>
          <w:sz w:val="20"/>
          <w:szCs w:val="20"/>
        </w:rPr>
        <w:lastRenderedPageBreak/>
        <w:t>Tabela 1: Sredstva, ki bodo na voljo prek razpisa, ki bo objavljen najkasneje januarja 2017: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E84736" w:rsidRPr="00E84736" w:rsidTr="00E84736">
        <w:tc>
          <w:tcPr>
            <w:tcW w:w="4606" w:type="dxa"/>
          </w:tcPr>
          <w:p w:rsidR="00E84736" w:rsidRPr="00E84736" w:rsidRDefault="00E84736" w:rsidP="00E84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E84736" w:rsidRPr="00E84736" w:rsidRDefault="00E84736" w:rsidP="00E847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Amounts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foreseen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million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SIMPLE PROGRAMMES in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Market</w:t>
            </w:r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22.5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Schemes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12.375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10.125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SIMPLE PROGRAMMES in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Third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Countries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China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, SE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Asia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14.75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 xml:space="preserve">4. USA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Canada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Mexico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 xml:space="preserve">5.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Africa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Middle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East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8.45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Regions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Dairy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Pigmeat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 xml:space="preserve">8.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Beef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Market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disturbance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call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proposals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Total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SIMPLE</w:t>
            </w:r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MULTI PROGRAMMES</w:t>
            </w:r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Million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increasing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sustainable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agriculture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agriculture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climate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market.</w:t>
            </w:r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15.05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on EU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schemes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15.05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highlighting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features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agricultural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Union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EU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agrifood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Total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MULTI</w:t>
            </w:r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TOTAL SIMPLE </w:t>
            </w:r>
            <w:proofErr w:type="spellStart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 xml:space="preserve"> MULTI PROGRAMMES</w:t>
            </w:r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133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E847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4736">
              <w:rPr>
                <w:rFonts w:ascii="Arial" w:hAnsi="Arial" w:cs="Arial"/>
                <w:sz w:val="20"/>
                <w:szCs w:val="20"/>
              </w:rPr>
              <w:t>initiatives</w:t>
            </w:r>
            <w:proofErr w:type="spellEnd"/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Fonts w:ascii="Arial" w:hAnsi="Arial" w:cs="Arial"/>
                <w:sz w:val="20"/>
                <w:szCs w:val="20"/>
              </w:rPr>
              <w:t>9.5</w:t>
            </w:r>
          </w:p>
        </w:tc>
      </w:tr>
      <w:tr w:rsidR="00E84736" w:rsidRPr="00E84736" w:rsidTr="00896400"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TOTAL PROMOTION ACTIONS</w:t>
            </w:r>
          </w:p>
        </w:tc>
        <w:tc>
          <w:tcPr>
            <w:tcW w:w="4606" w:type="dxa"/>
            <w:vAlign w:val="center"/>
          </w:tcPr>
          <w:p w:rsidR="00E84736" w:rsidRPr="00E84736" w:rsidRDefault="00E84736" w:rsidP="00E84736">
            <w:pPr>
              <w:pStyle w:val="Navadensple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36">
              <w:rPr>
                <w:rStyle w:val="Krepko"/>
                <w:rFonts w:ascii="Arial" w:hAnsi="Arial" w:cs="Arial"/>
                <w:sz w:val="20"/>
                <w:szCs w:val="20"/>
              </w:rPr>
              <w:t>142.5</w:t>
            </w:r>
          </w:p>
        </w:tc>
      </w:tr>
    </w:tbl>
    <w:p w:rsidR="00942563" w:rsidRPr="00E84736" w:rsidRDefault="00E84736" w:rsidP="00E84736">
      <w:pPr>
        <w:rPr>
          <w:rFonts w:ascii="Arial" w:hAnsi="Arial" w:cs="Arial"/>
          <w:sz w:val="20"/>
          <w:szCs w:val="20"/>
        </w:rPr>
      </w:pPr>
      <w:r w:rsidRPr="00E84736">
        <w:rPr>
          <w:rFonts w:ascii="Arial" w:hAnsi="Arial" w:cs="Arial"/>
          <w:sz w:val="20"/>
          <w:szCs w:val="20"/>
        </w:rPr>
        <w:t>Vir: Evropska komisija</w:t>
      </w:r>
    </w:p>
    <w:p w:rsidR="00E84736" w:rsidRPr="00E84736" w:rsidRDefault="00E84736" w:rsidP="00E84736">
      <w:pPr>
        <w:rPr>
          <w:rFonts w:ascii="Arial" w:hAnsi="Arial" w:cs="Arial"/>
          <w:b/>
          <w:sz w:val="20"/>
          <w:szCs w:val="20"/>
        </w:rPr>
      </w:pPr>
      <w:r w:rsidRPr="00E84736">
        <w:rPr>
          <w:rFonts w:ascii="Arial" w:hAnsi="Arial" w:cs="Arial"/>
          <w:b/>
          <w:sz w:val="20"/>
          <w:szCs w:val="20"/>
        </w:rPr>
        <w:t>Koristne informacije:</w:t>
      </w:r>
    </w:p>
    <w:p w:rsidR="00E84736" w:rsidRPr="00E84736" w:rsidRDefault="00E84736" w:rsidP="00E8473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4736">
        <w:rPr>
          <w:rFonts w:ascii="Arial" w:hAnsi="Arial" w:cs="Arial"/>
          <w:sz w:val="20"/>
          <w:szCs w:val="20"/>
        </w:rPr>
        <w:t>Spletna stran s povezavo na letni program promocije 2017:</w:t>
      </w:r>
    </w:p>
    <w:p w:rsidR="00E84736" w:rsidRPr="00E84736" w:rsidRDefault="00E84736" w:rsidP="00E8473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E84736">
          <w:rPr>
            <w:rStyle w:val="Hiperpovezava"/>
            <w:rFonts w:ascii="Arial" w:hAnsi="Arial" w:cs="Arial"/>
            <w:sz w:val="20"/>
            <w:szCs w:val="20"/>
          </w:rPr>
          <w:t>http://ec.europa.eu/agriculture/promotion/annual-work-programmes/2017/index_en.htm</w:t>
        </w:r>
      </w:hyperlink>
    </w:p>
    <w:p w:rsidR="00E84736" w:rsidRPr="00E84736" w:rsidRDefault="00E84736" w:rsidP="00E8473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4736">
        <w:rPr>
          <w:rFonts w:ascii="Arial" w:hAnsi="Arial" w:cs="Arial"/>
          <w:sz w:val="20"/>
          <w:szCs w:val="20"/>
        </w:rPr>
        <w:t>Spletna stran o promociji evropskih kmetijskih pridelkov in hrane:</w:t>
      </w:r>
    </w:p>
    <w:p w:rsidR="00E84736" w:rsidRPr="00E84736" w:rsidRDefault="00E84736" w:rsidP="00E8473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E84736">
          <w:rPr>
            <w:rStyle w:val="Hiperpovezava"/>
            <w:rFonts w:ascii="Arial" w:hAnsi="Arial" w:cs="Arial"/>
            <w:sz w:val="20"/>
            <w:szCs w:val="20"/>
          </w:rPr>
          <w:t>http://ec.europa.eu/agriculture/promotion/index_en.htm</w:t>
        </w:r>
      </w:hyperlink>
    </w:p>
    <w:p w:rsidR="00E84736" w:rsidRPr="00E84736" w:rsidRDefault="00E84736" w:rsidP="00E84736">
      <w:pPr>
        <w:rPr>
          <w:rFonts w:ascii="Arial" w:hAnsi="Arial" w:cs="Arial"/>
          <w:sz w:val="20"/>
          <w:szCs w:val="20"/>
        </w:rPr>
      </w:pPr>
      <w:r w:rsidRPr="00E84736">
        <w:rPr>
          <w:rFonts w:ascii="Arial" w:hAnsi="Arial" w:cs="Arial"/>
          <w:sz w:val="20"/>
          <w:szCs w:val="20"/>
        </w:rPr>
        <w:t>Pripravila:</w:t>
      </w:r>
    </w:p>
    <w:p w:rsidR="00E84736" w:rsidRPr="00E84736" w:rsidRDefault="00E84736" w:rsidP="00E84736">
      <w:pPr>
        <w:rPr>
          <w:rFonts w:ascii="Arial" w:hAnsi="Arial" w:cs="Arial"/>
          <w:sz w:val="20"/>
          <w:szCs w:val="20"/>
        </w:rPr>
      </w:pPr>
      <w:r w:rsidRPr="00E84736">
        <w:rPr>
          <w:rFonts w:ascii="Arial" w:hAnsi="Arial" w:cs="Arial"/>
          <w:sz w:val="20"/>
          <w:szCs w:val="20"/>
        </w:rPr>
        <w:t>Darja Kocbek</w:t>
      </w:r>
    </w:p>
    <w:sectPr w:rsidR="00E84736" w:rsidRPr="00E8473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885"/>
    <w:multiLevelType w:val="hybridMultilevel"/>
    <w:tmpl w:val="5A4EF0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303"/>
    <w:rsid w:val="00245303"/>
    <w:rsid w:val="00467D28"/>
    <w:rsid w:val="0057577D"/>
    <w:rsid w:val="00677FA9"/>
    <w:rsid w:val="00914F9A"/>
    <w:rsid w:val="00942563"/>
    <w:rsid w:val="00B459D4"/>
    <w:rsid w:val="00C41551"/>
    <w:rsid w:val="00E84736"/>
    <w:rsid w:val="00F2390F"/>
    <w:rsid w:val="00F6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C41551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45303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2563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2563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E8473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E84736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8473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8473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C41551"/>
    <w:rPr>
      <w:rFonts w:ascii="Arial" w:eastAsia="Times New Roman" w:hAnsi="Arial" w:cs="Arial"/>
      <w:b/>
      <w:bCs/>
      <w:i/>
      <w:iCs/>
      <w:sz w:val="28"/>
      <w:szCs w:val="2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agriculture/promotion/index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agriculture/promotion/annual-work-programmes/2017/index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2016-11-10T19:08:00Z</dcterms:created>
  <dcterms:modified xsi:type="dcterms:W3CDTF">2016-11-10T20:11:00Z</dcterms:modified>
</cp:coreProperties>
</file>