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04" w:rsidRPr="00467345" w:rsidRDefault="00031D04" w:rsidP="00031D0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D04" w:rsidRDefault="00031D04" w:rsidP="00031D0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31D04" w:rsidRPr="00083714" w:rsidRDefault="00031D04" w:rsidP="00031D0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</w:p>
    <w:p w:rsidR="00031D04" w:rsidRPr="00083714" w:rsidRDefault="00031D04" w:rsidP="00031D04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031D04" w:rsidRDefault="00031D04" w:rsidP="00031D04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</w:t>
      </w:r>
      <w:r w:rsidR="00BE3C14">
        <w:rPr>
          <w:b/>
        </w:rPr>
        <w:t>61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031D04" w:rsidRPr="0002310E" w:rsidRDefault="00031D04" w:rsidP="00031D0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17. oktober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7B6114" w:rsidRDefault="00031D04" w:rsidP="00BE3C1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je </w:t>
      </w:r>
      <w:r w:rsidR="00BE3C14">
        <w:rPr>
          <w:b/>
          <w:color w:val="993300"/>
          <w:sz w:val="32"/>
          <w:szCs w:val="32"/>
        </w:rPr>
        <w:t>objavila razpisa Evropskega sklada za pomorstvo, ribištvo in ribogojstvo (ESPR)</w:t>
      </w:r>
    </w:p>
    <w:p w:rsidR="006E0AAE" w:rsidRPr="007B6114" w:rsidRDefault="007B6114" w:rsidP="007B6114">
      <w:pPr>
        <w:jc w:val="both"/>
        <w:rPr>
          <w:rFonts w:ascii="Arial" w:hAnsi="Arial" w:cs="Arial"/>
          <w:b/>
          <w:i/>
        </w:rPr>
      </w:pPr>
      <w:r w:rsidRPr="007B6114">
        <w:rPr>
          <w:rFonts w:ascii="Arial" w:hAnsi="Arial" w:cs="Arial"/>
          <w:b/>
          <w:i/>
        </w:rPr>
        <w:t>Objavljena sta</w:t>
      </w:r>
      <w:r w:rsidR="00352A66" w:rsidRPr="007B6114">
        <w:rPr>
          <w:rFonts w:ascii="Arial" w:hAnsi="Arial" w:cs="Arial"/>
          <w:b/>
          <w:i/>
        </w:rPr>
        <w:t xml:space="preserve"> razpisa Evropskega sklada za pomorstvo, ribištvo in ribogojstvo (ESPR). Prek razpisa Modra kariera bo</w:t>
      </w:r>
      <w:r w:rsidRPr="007B6114">
        <w:rPr>
          <w:rFonts w:ascii="Arial" w:hAnsi="Arial" w:cs="Arial"/>
          <w:b/>
          <w:i/>
        </w:rPr>
        <w:t>do</w:t>
      </w:r>
      <w:r w:rsidR="00352A66" w:rsidRPr="007B6114">
        <w:rPr>
          <w:rFonts w:ascii="Arial" w:hAnsi="Arial" w:cs="Arial"/>
          <w:b/>
          <w:i/>
        </w:rPr>
        <w:t xml:space="preserve"> podprl</w:t>
      </w:r>
      <w:r w:rsidRPr="007B6114">
        <w:rPr>
          <w:rFonts w:ascii="Arial" w:hAnsi="Arial" w:cs="Arial"/>
          <w:b/>
          <w:i/>
        </w:rPr>
        <w:t>i</w:t>
      </w:r>
      <w:r w:rsidR="00352A66" w:rsidRPr="007B6114">
        <w:rPr>
          <w:rFonts w:ascii="Arial" w:hAnsi="Arial" w:cs="Arial"/>
          <w:b/>
          <w:i/>
        </w:rPr>
        <w:t xml:space="preserve"> razvoj novih znanj in spretnosti na področju modrega gospodarstva ter priložnosti za pomorske poklice. Prek drugega razpisa so na voljo sredstva za regionalne projekte, ki podpirajo trajnostno modro gospodarstvo v morskih bazenih EU. Razpisa sta odprta do 31. januarja 2023. Več informacij bo mogoče dobiti na informativnem dnevu  24. novembra v Bruslju</w:t>
      </w:r>
      <w:r w:rsidR="006F49B1" w:rsidRPr="007B6114">
        <w:rPr>
          <w:rFonts w:ascii="Arial" w:hAnsi="Arial" w:cs="Arial"/>
          <w:b/>
          <w:i/>
        </w:rPr>
        <w:t xml:space="preserve"> (predviden je neposredni prenos po spletu)</w:t>
      </w:r>
      <w:r w:rsidR="00352A66" w:rsidRPr="007B6114">
        <w:rPr>
          <w:rFonts w:ascii="Arial" w:hAnsi="Arial" w:cs="Arial"/>
          <w:b/>
          <w:i/>
        </w:rPr>
        <w:t xml:space="preserve">. </w:t>
      </w:r>
      <w:r w:rsidR="006F49B1" w:rsidRPr="007B6114">
        <w:rPr>
          <w:rFonts w:ascii="Arial" w:hAnsi="Arial" w:cs="Arial"/>
          <w:b/>
          <w:i/>
        </w:rPr>
        <w:t xml:space="preserve">Prijave so odprte do 16. novembra. </w:t>
      </w:r>
      <w:r w:rsidR="00352A66" w:rsidRPr="007B6114">
        <w:rPr>
          <w:rFonts w:ascii="Arial" w:hAnsi="Arial" w:cs="Arial"/>
          <w:b/>
          <w:i/>
        </w:rPr>
        <w:t>Člani lahko dobijo več informacij na SBRA.</w:t>
      </w:r>
    </w:p>
    <w:p w:rsidR="00352A66" w:rsidRPr="007B6114" w:rsidRDefault="009F607A" w:rsidP="007B6114">
      <w:pPr>
        <w:jc w:val="both"/>
        <w:rPr>
          <w:rFonts w:ascii="Arial" w:hAnsi="Arial" w:cs="Arial"/>
          <w:b/>
          <w:sz w:val="20"/>
          <w:szCs w:val="20"/>
        </w:rPr>
      </w:pPr>
      <w:r w:rsidRPr="007B6114">
        <w:rPr>
          <w:rFonts w:ascii="Arial" w:hAnsi="Arial" w:cs="Arial"/>
          <w:b/>
          <w:sz w:val="20"/>
          <w:szCs w:val="20"/>
        </w:rPr>
        <w:t>Razpis Modra kariera</w:t>
      </w:r>
    </w:p>
    <w:p w:rsidR="009F607A" w:rsidRPr="007B6114" w:rsidRDefault="009F607A" w:rsidP="007B6114">
      <w:pPr>
        <w:jc w:val="both"/>
        <w:rPr>
          <w:rFonts w:ascii="Arial" w:hAnsi="Arial" w:cs="Arial"/>
          <w:sz w:val="20"/>
          <w:szCs w:val="20"/>
        </w:rPr>
      </w:pPr>
      <w:r w:rsidRPr="007B6114">
        <w:rPr>
          <w:rFonts w:ascii="Arial" w:hAnsi="Arial" w:cs="Arial"/>
          <w:sz w:val="20"/>
          <w:szCs w:val="20"/>
        </w:rPr>
        <w:t xml:space="preserve">Cilj razpisa je pripomoči k razvoju potrebnih znanj in spretnosti za podporo pobudam v okviru Evropskega zelenega dogovora za vzpostavitev trajnostnega modrega gospodarstva. Evropska komisija zato pričakuje prijave inovativnih projektov, ki združujejo industrijo modrega gospodarstva ter ustrezne morske in pomorske izobraževalne/akademske ustanove in/ali ponudnike poklicnega usposabljanja. </w:t>
      </w:r>
    </w:p>
    <w:p w:rsidR="009F607A" w:rsidRPr="007B6114" w:rsidRDefault="009F607A" w:rsidP="007B6114">
      <w:pPr>
        <w:jc w:val="both"/>
        <w:rPr>
          <w:rFonts w:ascii="Arial" w:hAnsi="Arial" w:cs="Arial"/>
          <w:b/>
          <w:sz w:val="20"/>
          <w:szCs w:val="20"/>
        </w:rPr>
      </w:pPr>
      <w:r w:rsidRPr="007B6114">
        <w:rPr>
          <w:rFonts w:ascii="Arial" w:hAnsi="Arial" w:cs="Arial"/>
          <w:b/>
          <w:sz w:val="20"/>
          <w:szCs w:val="20"/>
        </w:rPr>
        <w:t>Razpis za regionalne projekte v morskih bazenih EU</w:t>
      </w:r>
    </w:p>
    <w:p w:rsidR="009F607A" w:rsidRPr="007B6114" w:rsidRDefault="009F607A" w:rsidP="007B6114">
      <w:pPr>
        <w:jc w:val="both"/>
        <w:rPr>
          <w:rFonts w:ascii="Arial" w:hAnsi="Arial" w:cs="Arial"/>
          <w:sz w:val="20"/>
          <w:szCs w:val="20"/>
        </w:rPr>
      </w:pPr>
      <w:r w:rsidRPr="007B6114">
        <w:rPr>
          <w:rFonts w:ascii="Arial" w:hAnsi="Arial" w:cs="Arial"/>
          <w:sz w:val="20"/>
          <w:szCs w:val="20"/>
        </w:rPr>
        <w:t>Razpis se osredotoča na sodelovanje v morskih bazenih EU, zlasti v Atlantskem oceanu, Črnem morju, Sredozemlju, Baltskem morju in v oddaljenih regijah EU.</w:t>
      </w:r>
    </w:p>
    <w:p w:rsidR="009F607A" w:rsidRPr="007B6114" w:rsidRDefault="009F607A" w:rsidP="007B6114">
      <w:pPr>
        <w:jc w:val="both"/>
        <w:rPr>
          <w:rFonts w:ascii="Arial" w:hAnsi="Arial" w:cs="Arial"/>
          <w:b/>
          <w:sz w:val="20"/>
          <w:szCs w:val="20"/>
        </w:rPr>
      </w:pPr>
      <w:r w:rsidRPr="007B6114">
        <w:rPr>
          <w:rFonts w:ascii="Arial" w:hAnsi="Arial" w:cs="Arial"/>
          <w:b/>
          <w:sz w:val="20"/>
          <w:szCs w:val="20"/>
        </w:rPr>
        <w:t>Tabela 1: Teme razpisa za regionalne projekte v morskih bazenih EU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9F607A" w:rsidRPr="007B6114" w:rsidTr="009F607A">
        <w:tc>
          <w:tcPr>
            <w:tcW w:w="4606" w:type="dxa"/>
          </w:tcPr>
          <w:p w:rsidR="009F607A" w:rsidRPr="007B6114" w:rsidRDefault="009F607A" w:rsidP="007B61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6114">
              <w:rPr>
                <w:rFonts w:ascii="Arial" w:hAnsi="Arial" w:cs="Arial"/>
                <w:b/>
                <w:sz w:val="20"/>
                <w:szCs w:val="20"/>
              </w:rPr>
              <w:t>Tem</w:t>
            </w:r>
            <w:r w:rsidR="007B6114" w:rsidRPr="007B611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B6114">
              <w:rPr>
                <w:rFonts w:ascii="Arial" w:hAnsi="Arial" w:cs="Arial"/>
                <w:b/>
                <w:sz w:val="20"/>
                <w:szCs w:val="20"/>
              </w:rPr>
              <w:t xml:space="preserve"> razpisa</w:t>
            </w:r>
          </w:p>
        </w:tc>
        <w:tc>
          <w:tcPr>
            <w:tcW w:w="4606" w:type="dxa"/>
          </w:tcPr>
          <w:p w:rsidR="009F607A" w:rsidRPr="007B6114" w:rsidRDefault="009F607A" w:rsidP="007B61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6114">
              <w:rPr>
                <w:rFonts w:ascii="Arial" w:hAnsi="Arial" w:cs="Arial"/>
                <w:b/>
                <w:sz w:val="20"/>
                <w:szCs w:val="20"/>
              </w:rPr>
              <w:t>Znesek sredstev, ki so na voljo, v milijonih evrov</w:t>
            </w:r>
          </w:p>
        </w:tc>
      </w:tr>
      <w:tr w:rsidR="009F607A" w:rsidRPr="007B6114" w:rsidTr="009F607A">
        <w:tc>
          <w:tcPr>
            <w:tcW w:w="4606" w:type="dxa"/>
          </w:tcPr>
          <w:p w:rsidR="009F607A" w:rsidRPr="007B6114" w:rsidRDefault="009F607A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t xml:space="preserve">Spodbujanje </w:t>
            </w:r>
            <w:proofErr w:type="spellStart"/>
            <w:r w:rsidRPr="007B6114">
              <w:rPr>
                <w:rFonts w:ascii="Arial" w:hAnsi="Arial" w:cs="Arial"/>
                <w:sz w:val="20"/>
                <w:szCs w:val="20"/>
              </w:rPr>
              <w:t>diverzifikacije</w:t>
            </w:r>
            <w:proofErr w:type="spellEnd"/>
            <w:r w:rsidRPr="007B6114">
              <w:rPr>
                <w:rFonts w:ascii="Arial" w:hAnsi="Arial" w:cs="Arial"/>
                <w:sz w:val="20"/>
                <w:szCs w:val="20"/>
              </w:rPr>
              <w:t xml:space="preserve"> ribolovnih dejavnosti v atlantskem območju</w:t>
            </w:r>
          </w:p>
        </w:tc>
        <w:tc>
          <w:tcPr>
            <w:tcW w:w="4606" w:type="dxa"/>
          </w:tcPr>
          <w:p w:rsidR="009F607A" w:rsidRPr="007B6114" w:rsidRDefault="006F49B1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F607A" w:rsidRPr="007B6114" w:rsidTr="009F607A">
        <w:tc>
          <w:tcPr>
            <w:tcW w:w="4606" w:type="dxa"/>
          </w:tcPr>
          <w:p w:rsidR="009F607A" w:rsidRPr="007B6114" w:rsidRDefault="006F49B1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t>Izkoriščanje pripravljenosti in odzivanja na onesnaženje morja v Črnem morju</w:t>
            </w:r>
          </w:p>
        </w:tc>
        <w:tc>
          <w:tcPr>
            <w:tcW w:w="4606" w:type="dxa"/>
          </w:tcPr>
          <w:p w:rsidR="009F607A" w:rsidRPr="007B6114" w:rsidRDefault="006F49B1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9F607A" w:rsidRPr="007B6114" w:rsidTr="009F607A">
        <w:tc>
          <w:tcPr>
            <w:tcW w:w="4606" w:type="dxa"/>
          </w:tcPr>
          <w:p w:rsidR="009F607A" w:rsidRPr="007B6114" w:rsidRDefault="006F49B1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t xml:space="preserve">Spodbujanje trajnostnega prometa in pristanišč v Sredozemlju </w:t>
            </w:r>
          </w:p>
        </w:tc>
        <w:tc>
          <w:tcPr>
            <w:tcW w:w="4606" w:type="dxa"/>
          </w:tcPr>
          <w:p w:rsidR="009F607A" w:rsidRPr="007B6114" w:rsidRDefault="006F49B1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9F607A" w:rsidRPr="007B6114" w:rsidTr="009F607A">
        <w:tc>
          <w:tcPr>
            <w:tcW w:w="4606" w:type="dxa"/>
          </w:tcPr>
          <w:p w:rsidR="009F607A" w:rsidRPr="007B6114" w:rsidRDefault="006F49B1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t xml:space="preserve">Spodbujanje pomorskih grozdov kot inovativnega dejavnika za trajnostno modro gospodarstvo v </w:t>
            </w:r>
            <w:r w:rsidRPr="007B6114">
              <w:rPr>
                <w:rFonts w:ascii="Arial" w:hAnsi="Arial" w:cs="Arial"/>
                <w:sz w:val="20"/>
                <w:szCs w:val="20"/>
              </w:rPr>
              <w:lastRenderedPageBreak/>
              <w:t>Sredozemlju</w:t>
            </w:r>
          </w:p>
        </w:tc>
        <w:tc>
          <w:tcPr>
            <w:tcW w:w="4606" w:type="dxa"/>
          </w:tcPr>
          <w:p w:rsidR="009F607A" w:rsidRPr="007B6114" w:rsidRDefault="006F49B1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</w:tr>
      <w:tr w:rsidR="009F607A" w:rsidRPr="007B6114" w:rsidTr="009F607A">
        <w:tc>
          <w:tcPr>
            <w:tcW w:w="4606" w:type="dxa"/>
          </w:tcPr>
          <w:p w:rsidR="009F607A" w:rsidRPr="007B6114" w:rsidRDefault="006F49B1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lastRenderedPageBreak/>
              <w:t>Spodbujanje trajnostnega pomorskega in obalnega turizma v najbolj oddaljenih regijah</w:t>
            </w:r>
          </w:p>
        </w:tc>
        <w:tc>
          <w:tcPr>
            <w:tcW w:w="4606" w:type="dxa"/>
          </w:tcPr>
          <w:p w:rsidR="009F607A" w:rsidRPr="007B6114" w:rsidRDefault="006F49B1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F607A" w:rsidRPr="007B6114" w:rsidTr="009F607A">
        <w:tc>
          <w:tcPr>
            <w:tcW w:w="4606" w:type="dxa"/>
          </w:tcPr>
          <w:p w:rsidR="009F607A" w:rsidRPr="007B6114" w:rsidRDefault="006F49B1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t>Spodbujanje regenerativnega oceanskega kmetijstva v regiji Baltskega morja</w:t>
            </w:r>
          </w:p>
        </w:tc>
        <w:tc>
          <w:tcPr>
            <w:tcW w:w="4606" w:type="dxa"/>
          </w:tcPr>
          <w:p w:rsidR="009F607A" w:rsidRPr="007B6114" w:rsidRDefault="006F49B1" w:rsidP="007B61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114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</w:tbl>
    <w:p w:rsidR="009F607A" w:rsidRPr="007B6114" w:rsidRDefault="006F49B1" w:rsidP="007B6114">
      <w:pPr>
        <w:jc w:val="both"/>
        <w:rPr>
          <w:rFonts w:ascii="Arial" w:hAnsi="Arial" w:cs="Arial"/>
          <w:sz w:val="20"/>
          <w:szCs w:val="20"/>
        </w:rPr>
      </w:pPr>
      <w:r w:rsidRPr="007B6114">
        <w:rPr>
          <w:rFonts w:ascii="Arial" w:hAnsi="Arial" w:cs="Arial"/>
          <w:sz w:val="20"/>
          <w:szCs w:val="20"/>
        </w:rPr>
        <w:t>Vir: Evropska komisija</w:t>
      </w:r>
    </w:p>
    <w:p w:rsidR="006F49B1" w:rsidRPr="007B6114" w:rsidRDefault="006F49B1" w:rsidP="007B6114">
      <w:pPr>
        <w:jc w:val="both"/>
        <w:rPr>
          <w:rFonts w:ascii="Arial" w:hAnsi="Arial" w:cs="Arial"/>
          <w:b/>
          <w:sz w:val="20"/>
          <w:szCs w:val="20"/>
        </w:rPr>
      </w:pPr>
      <w:r w:rsidRPr="007B6114">
        <w:rPr>
          <w:rFonts w:ascii="Arial" w:hAnsi="Arial" w:cs="Arial"/>
          <w:b/>
          <w:sz w:val="20"/>
          <w:szCs w:val="20"/>
        </w:rPr>
        <w:t>Koristne informacije:</w:t>
      </w:r>
    </w:p>
    <w:p w:rsidR="006F49B1" w:rsidRPr="007B6114" w:rsidRDefault="006F49B1" w:rsidP="007B61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6114">
        <w:rPr>
          <w:rFonts w:ascii="Arial" w:hAnsi="Arial" w:cs="Arial"/>
          <w:sz w:val="20"/>
          <w:szCs w:val="20"/>
        </w:rPr>
        <w:t>Razpis Modra kariera:</w:t>
      </w:r>
    </w:p>
    <w:p w:rsidR="006F49B1" w:rsidRPr="007B6114" w:rsidRDefault="006F49B1" w:rsidP="007B61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7B6114">
          <w:rPr>
            <w:rStyle w:val="Hiperpovezava"/>
            <w:rFonts w:ascii="Arial" w:hAnsi="Arial" w:cs="Arial"/>
            <w:sz w:val="20"/>
            <w:szCs w:val="20"/>
          </w:rPr>
          <w:t>https://cinea.ec.europa.eu/funding-opportunities/calls-proposals/emfaf-call-proposals-blue-careers-sustainable-blue-economy_sl</w:t>
        </w:r>
      </w:hyperlink>
      <w:r w:rsidRPr="007B6114">
        <w:rPr>
          <w:rFonts w:ascii="Arial" w:hAnsi="Arial" w:cs="Arial"/>
          <w:sz w:val="20"/>
          <w:szCs w:val="20"/>
        </w:rPr>
        <w:t xml:space="preserve"> </w:t>
      </w:r>
    </w:p>
    <w:p w:rsidR="006F49B1" w:rsidRPr="007B6114" w:rsidRDefault="006F49B1" w:rsidP="007B61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6114">
        <w:rPr>
          <w:rFonts w:ascii="Arial" w:hAnsi="Arial" w:cs="Arial"/>
          <w:sz w:val="20"/>
          <w:szCs w:val="20"/>
        </w:rPr>
        <w:t>Razpis za regionalne projekte v morskih bazenih EU:</w:t>
      </w:r>
    </w:p>
    <w:p w:rsidR="006F49B1" w:rsidRPr="007B6114" w:rsidRDefault="006F49B1" w:rsidP="007B61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7B6114">
          <w:rPr>
            <w:rStyle w:val="Hiperpovezava"/>
            <w:rFonts w:ascii="Arial" w:hAnsi="Arial" w:cs="Arial"/>
            <w:sz w:val="20"/>
            <w:szCs w:val="20"/>
          </w:rPr>
          <w:t>https://cinea.ec.europa.eu/funding-opportunities/calls-proposals/emfaf-call-proposals-regional-flagships-projects-supporting-sustainable-blue-economy-eu-sea-basins_sl</w:t>
        </w:r>
      </w:hyperlink>
    </w:p>
    <w:p w:rsidR="006F49B1" w:rsidRPr="007B6114" w:rsidRDefault="006F49B1" w:rsidP="007B61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6114">
        <w:rPr>
          <w:rFonts w:ascii="Arial" w:hAnsi="Arial" w:cs="Arial"/>
          <w:sz w:val="20"/>
          <w:szCs w:val="20"/>
        </w:rPr>
        <w:t>Informacije o informativnem dnevu z obrazcem za prijavo udeležbe:</w:t>
      </w:r>
    </w:p>
    <w:p w:rsidR="006F49B1" w:rsidRPr="007B6114" w:rsidRDefault="006F49B1" w:rsidP="007B61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7B6114">
          <w:rPr>
            <w:rStyle w:val="Hiperpovezava"/>
            <w:rFonts w:ascii="Arial" w:hAnsi="Arial" w:cs="Arial"/>
            <w:sz w:val="20"/>
            <w:szCs w:val="20"/>
          </w:rPr>
          <w:t>https://ec.europa.eu/eusurvey/runner/emfaf2022infoday-bluecareers-regionalflagships-callsforproposals</w:t>
        </w:r>
      </w:hyperlink>
      <w:r w:rsidRPr="007B6114">
        <w:rPr>
          <w:rFonts w:ascii="Arial" w:hAnsi="Arial" w:cs="Arial"/>
          <w:sz w:val="20"/>
          <w:szCs w:val="20"/>
        </w:rPr>
        <w:t xml:space="preserve"> </w:t>
      </w:r>
    </w:p>
    <w:p w:rsidR="00BF6A62" w:rsidRPr="007B6114" w:rsidRDefault="00BF6A62" w:rsidP="007B61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7B6114">
        <w:rPr>
          <w:rFonts w:ascii="Arial" w:hAnsi="Arial" w:cs="Arial"/>
          <w:sz w:val="20"/>
          <w:szCs w:val="20"/>
        </w:rPr>
        <w:t>Pripravila:</w:t>
      </w:r>
    </w:p>
    <w:p w:rsidR="00BF6A62" w:rsidRPr="007B6114" w:rsidRDefault="00BF6A62" w:rsidP="007B61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7B6114">
        <w:rPr>
          <w:rFonts w:ascii="Arial" w:hAnsi="Arial" w:cs="Arial"/>
          <w:sz w:val="20"/>
          <w:szCs w:val="20"/>
        </w:rPr>
        <w:t>Darja Kocbek</w:t>
      </w:r>
    </w:p>
    <w:sectPr w:rsidR="00BF6A62" w:rsidRPr="007B6114" w:rsidSect="006E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21334"/>
    <w:multiLevelType w:val="hybridMultilevel"/>
    <w:tmpl w:val="F0688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52A66"/>
    <w:rsid w:val="00031D04"/>
    <w:rsid w:val="00352A66"/>
    <w:rsid w:val="006E0AAE"/>
    <w:rsid w:val="006F49B1"/>
    <w:rsid w:val="007B6114"/>
    <w:rsid w:val="009F607A"/>
    <w:rsid w:val="00BE3C14"/>
    <w:rsid w:val="00BF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0AA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1D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9F6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6F49B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B611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31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1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survey/runner/emfaf2022infoday-bluecareers-regionalflagships-callsforpropos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nea.ec.europa.eu/funding-opportunities/calls-proposals/emfaf-call-proposals-regional-flagships-projects-supporting-sustainable-blue-economy-eu-sea-basins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nea.ec.europa.eu/funding-opportunities/calls-proposals/emfaf-call-proposals-blue-careers-sustainable-blue-economy_s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2022-10-13T13:14:00Z</dcterms:created>
  <dcterms:modified xsi:type="dcterms:W3CDTF">2022-10-13T14:48:00Z</dcterms:modified>
</cp:coreProperties>
</file>