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CC" w:rsidRPr="00083714" w:rsidRDefault="00C101CC" w:rsidP="00C101C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101CC" w:rsidRDefault="00C101CC" w:rsidP="00C101CC">
      <w:pPr>
        <w:pStyle w:val="Naslov2"/>
        <w:tabs>
          <w:tab w:val="left" w:pos="3120"/>
        </w:tabs>
        <w:spacing w:before="0"/>
        <w:jc w:val="center"/>
        <w:rPr>
          <w:sz w:val="22"/>
        </w:rPr>
      </w:pPr>
    </w:p>
    <w:p w:rsidR="00C101CC" w:rsidRPr="00083714" w:rsidRDefault="00C101CC" w:rsidP="00C101CC">
      <w:pPr>
        <w:pStyle w:val="Naslov2"/>
        <w:tabs>
          <w:tab w:val="left" w:pos="3120"/>
        </w:tabs>
        <w:spacing w:before="0"/>
        <w:jc w:val="center"/>
        <w:rPr>
          <w:b w:val="0"/>
          <w:bCs w:val="0"/>
          <w:i/>
          <w:iCs/>
          <w:sz w:val="22"/>
        </w:rPr>
      </w:pPr>
      <w:r w:rsidRPr="00083714">
        <w:rPr>
          <w:sz w:val="22"/>
        </w:rPr>
        <w:t>Slovensko gospodarsko in raziskovalno združenje, Bruselj</w:t>
      </w:r>
    </w:p>
    <w:p w:rsidR="00C101CC" w:rsidRPr="00083714" w:rsidRDefault="00C101CC" w:rsidP="00C101CC">
      <w:pPr>
        <w:pBdr>
          <w:bottom w:val="single" w:sz="6" w:space="1" w:color="auto"/>
        </w:pBdr>
        <w:tabs>
          <w:tab w:val="left" w:pos="3120"/>
        </w:tabs>
        <w:jc w:val="center"/>
        <w:rPr>
          <w:sz w:val="16"/>
          <w:szCs w:val="16"/>
        </w:rPr>
      </w:pPr>
    </w:p>
    <w:p w:rsidR="00C101CC" w:rsidRDefault="00C101CC" w:rsidP="00C101CC">
      <w:pPr>
        <w:tabs>
          <w:tab w:val="left" w:pos="3120"/>
        </w:tabs>
        <w:rPr>
          <w:b/>
        </w:rPr>
      </w:pPr>
      <w:r w:rsidRPr="00083714">
        <w:rPr>
          <w:b/>
        </w:rPr>
        <w:tab/>
      </w:r>
      <w:r>
        <w:rPr>
          <w:b/>
        </w:rPr>
        <w:t>Občasna informacija članom 15</w:t>
      </w:r>
      <w:r w:rsidRPr="00083714">
        <w:rPr>
          <w:b/>
        </w:rPr>
        <w:t xml:space="preserve"> – 20</w:t>
      </w:r>
      <w:r>
        <w:rPr>
          <w:b/>
        </w:rPr>
        <w:t>21</w:t>
      </w:r>
    </w:p>
    <w:p w:rsidR="00C101CC" w:rsidRPr="00083714" w:rsidRDefault="00C101CC" w:rsidP="00C101CC">
      <w:pPr>
        <w:tabs>
          <w:tab w:val="left" w:pos="3120"/>
        </w:tabs>
        <w:jc w:val="center"/>
        <w:rPr>
          <w:b/>
        </w:rPr>
      </w:pPr>
      <w:r>
        <w:rPr>
          <w:b/>
        </w:rPr>
        <w:t xml:space="preserve">25. januar </w:t>
      </w:r>
      <w:r w:rsidRPr="00083714">
        <w:rPr>
          <w:b/>
        </w:rPr>
        <w:t xml:space="preserve"> 20</w:t>
      </w:r>
      <w:r>
        <w:rPr>
          <w:b/>
        </w:rPr>
        <w:t>21</w:t>
      </w:r>
    </w:p>
    <w:p w:rsidR="00C101CC" w:rsidRDefault="00C101CC" w:rsidP="00C101CC">
      <w:pPr>
        <w:jc w:val="center"/>
        <w:rPr>
          <w:b/>
          <w:color w:val="993300"/>
          <w:sz w:val="32"/>
          <w:szCs w:val="32"/>
        </w:rPr>
      </w:pPr>
      <w:r>
        <w:rPr>
          <w:b/>
          <w:color w:val="993300"/>
          <w:sz w:val="32"/>
          <w:szCs w:val="32"/>
        </w:rPr>
        <w:t>Predlogi za raziskave in inovacije za varno preskrbo s hrano</w:t>
      </w:r>
    </w:p>
    <w:p w:rsidR="00F7445F" w:rsidRPr="007F6C68" w:rsidRDefault="00C57B5B" w:rsidP="00C101CC">
      <w:pPr>
        <w:jc w:val="both"/>
        <w:rPr>
          <w:rFonts w:ascii="Arial" w:hAnsi="Arial" w:cs="Arial"/>
          <w:b/>
          <w:i/>
        </w:rPr>
      </w:pPr>
      <w:r w:rsidRPr="007F6C68">
        <w:rPr>
          <w:rFonts w:ascii="Arial" w:hAnsi="Arial" w:cs="Arial"/>
          <w:b/>
          <w:i/>
        </w:rPr>
        <w:t xml:space="preserve">Objavljeno je poročilo, v katerem strokovna skupina pri Evropski komisiji med drugim navaja, kako bi bilo mogoče uporabiti sredstva iz novega programa EU za raziskave in inovacije Obzorje Evropa za iskanje rešitev problema negotove oskrbe s hrano v Evropi in širše.  </w:t>
      </w:r>
      <w:r w:rsidR="009C37D9" w:rsidRPr="007F6C68">
        <w:rPr>
          <w:rFonts w:ascii="Arial" w:hAnsi="Arial" w:cs="Arial"/>
          <w:b/>
          <w:i/>
        </w:rPr>
        <w:t>Raziskave in ino</w:t>
      </w:r>
      <w:r w:rsidR="00F72E0B" w:rsidRPr="007F6C68">
        <w:rPr>
          <w:rFonts w:ascii="Arial" w:hAnsi="Arial" w:cs="Arial"/>
          <w:b/>
          <w:i/>
        </w:rPr>
        <w:t>vacije po mnen</w:t>
      </w:r>
      <w:r w:rsidR="009C37D9" w:rsidRPr="007F6C68">
        <w:rPr>
          <w:rFonts w:ascii="Arial" w:hAnsi="Arial" w:cs="Arial"/>
          <w:b/>
          <w:i/>
        </w:rPr>
        <w:t>ju članov strokovne skupine niso le močno orodje za iskanje rešitev, ampak so tudi vodilo za snovalce politik in pomoč pri zagotovitvi podpore javnosti.</w:t>
      </w:r>
      <w:r w:rsidR="00C101CC">
        <w:rPr>
          <w:rFonts w:ascii="Arial" w:hAnsi="Arial" w:cs="Arial"/>
          <w:b/>
          <w:i/>
        </w:rPr>
        <w:t xml:space="preserve"> Člani lahko na SBRA dobijo več informacij o programu Obzorje Evropa.</w:t>
      </w:r>
    </w:p>
    <w:p w:rsidR="009C37D9" w:rsidRPr="007F6C68" w:rsidRDefault="00F72E0B" w:rsidP="007F6C68">
      <w:pPr>
        <w:jc w:val="both"/>
        <w:rPr>
          <w:rFonts w:ascii="Arial" w:hAnsi="Arial" w:cs="Arial"/>
          <w:b/>
          <w:sz w:val="20"/>
          <w:szCs w:val="20"/>
        </w:rPr>
      </w:pPr>
      <w:r w:rsidRPr="007F6C68">
        <w:rPr>
          <w:rFonts w:ascii="Arial" w:hAnsi="Arial" w:cs="Arial"/>
          <w:b/>
          <w:sz w:val="20"/>
          <w:szCs w:val="20"/>
        </w:rPr>
        <w:t>Tabela 1. Predlogi strokovne skupine za raziskovalne teme za nov kmetijsko-prehrambni sektor</w:t>
      </w:r>
    </w:p>
    <w:tbl>
      <w:tblPr>
        <w:tblStyle w:val="Tabela-mrea"/>
        <w:tblW w:w="0" w:type="auto"/>
        <w:tblInd w:w="720" w:type="dxa"/>
        <w:tblLook w:val="04A0"/>
      </w:tblPr>
      <w:tblGrid>
        <w:gridCol w:w="4292"/>
        <w:gridCol w:w="4276"/>
      </w:tblGrid>
      <w:tr w:rsidR="007F6C68" w:rsidRPr="007F6C68" w:rsidTr="00F72E0B">
        <w:tc>
          <w:tcPr>
            <w:tcW w:w="4606" w:type="dxa"/>
          </w:tcPr>
          <w:p w:rsidR="00F72E0B" w:rsidRPr="007F6C68" w:rsidRDefault="00F72E0B" w:rsidP="007F6C68">
            <w:pPr>
              <w:jc w:val="both"/>
              <w:rPr>
                <w:rFonts w:ascii="Arial" w:hAnsi="Arial" w:cs="Arial"/>
                <w:b/>
                <w:sz w:val="20"/>
                <w:szCs w:val="20"/>
              </w:rPr>
            </w:pPr>
            <w:r w:rsidRPr="007F6C68">
              <w:rPr>
                <w:rFonts w:ascii="Arial" w:hAnsi="Arial" w:cs="Arial"/>
                <w:b/>
                <w:sz w:val="20"/>
                <w:szCs w:val="20"/>
              </w:rPr>
              <w:t>Tema</w:t>
            </w:r>
          </w:p>
        </w:tc>
        <w:tc>
          <w:tcPr>
            <w:tcW w:w="4606" w:type="dxa"/>
          </w:tcPr>
          <w:p w:rsidR="00F72E0B" w:rsidRPr="007F6C68" w:rsidRDefault="00F72E0B" w:rsidP="007F6C68">
            <w:pPr>
              <w:jc w:val="both"/>
              <w:rPr>
                <w:rFonts w:ascii="Arial" w:hAnsi="Arial" w:cs="Arial"/>
                <w:b/>
                <w:sz w:val="20"/>
                <w:szCs w:val="20"/>
              </w:rPr>
            </w:pPr>
            <w:r w:rsidRPr="007F6C68">
              <w:rPr>
                <w:rFonts w:ascii="Arial" w:hAnsi="Arial" w:cs="Arial"/>
                <w:b/>
                <w:sz w:val="20"/>
                <w:szCs w:val="20"/>
              </w:rPr>
              <w:t>Vsebina raziskav</w:t>
            </w:r>
          </w:p>
        </w:tc>
      </w:tr>
      <w:tr w:rsidR="007F6C68" w:rsidRPr="007F6C68" w:rsidTr="00F72E0B">
        <w:tc>
          <w:tcPr>
            <w:tcW w:w="4606" w:type="dxa"/>
          </w:tcPr>
          <w:p w:rsidR="00F72E0B" w:rsidRPr="007F6C68" w:rsidRDefault="00F72E0B" w:rsidP="007F6C68">
            <w:pPr>
              <w:jc w:val="both"/>
              <w:rPr>
                <w:rFonts w:ascii="Arial" w:hAnsi="Arial" w:cs="Arial"/>
                <w:sz w:val="20"/>
                <w:szCs w:val="20"/>
              </w:rPr>
            </w:pPr>
            <w:r w:rsidRPr="007F6C68">
              <w:rPr>
                <w:rFonts w:ascii="Arial" w:hAnsi="Arial" w:cs="Arial"/>
                <w:sz w:val="20"/>
                <w:szCs w:val="20"/>
              </w:rPr>
              <w:t>Hrana, dobro počutje, družba</w:t>
            </w:r>
          </w:p>
        </w:tc>
        <w:tc>
          <w:tcPr>
            <w:tcW w:w="4606" w:type="dxa"/>
          </w:tcPr>
          <w:p w:rsidR="00F72E0B" w:rsidRPr="007F6C68" w:rsidRDefault="00F72E0B" w:rsidP="007F6C68">
            <w:pPr>
              <w:jc w:val="both"/>
              <w:rPr>
                <w:rFonts w:ascii="Arial" w:hAnsi="Arial" w:cs="Arial"/>
                <w:sz w:val="20"/>
                <w:szCs w:val="20"/>
              </w:rPr>
            </w:pPr>
            <w:r w:rsidRPr="007F6C68">
              <w:rPr>
                <w:rFonts w:ascii="Arial" w:hAnsi="Arial" w:cs="Arial"/>
                <w:sz w:val="20"/>
                <w:szCs w:val="20"/>
              </w:rPr>
              <w:t>Kako način prehranjevanja in način pridelave hrane oblikuje našo identiteto in vpliva na naše dobro počutje – lahko to pospeši mali zavira spremembe</w:t>
            </w:r>
          </w:p>
        </w:tc>
      </w:tr>
      <w:tr w:rsidR="007F6C68" w:rsidRPr="007F6C68" w:rsidTr="00F72E0B">
        <w:tc>
          <w:tcPr>
            <w:tcW w:w="4606" w:type="dxa"/>
          </w:tcPr>
          <w:p w:rsidR="00F72E0B" w:rsidRPr="007F6C68" w:rsidRDefault="00F72E0B" w:rsidP="007F6C68">
            <w:pPr>
              <w:jc w:val="both"/>
              <w:rPr>
                <w:rFonts w:ascii="Arial" w:hAnsi="Arial" w:cs="Arial"/>
                <w:sz w:val="20"/>
                <w:szCs w:val="20"/>
              </w:rPr>
            </w:pPr>
            <w:r w:rsidRPr="007F6C68">
              <w:rPr>
                <w:rFonts w:ascii="Arial" w:hAnsi="Arial" w:cs="Arial"/>
                <w:sz w:val="20"/>
                <w:szCs w:val="20"/>
              </w:rPr>
              <w:t>Socialne inovacije</w:t>
            </w:r>
          </w:p>
        </w:tc>
        <w:tc>
          <w:tcPr>
            <w:tcW w:w="4606" w:type="dxa"/>
          </w:tcPr>
          <w:p w:rsidR="00F72E0B" w:rsidRPr="007F6C68" w:rsidRDefault="00F72E0B" w:rsidP="007F6C68">
            <w:pPr>
              <w:jc w:val="both"/>
              <w:rPr>
                <w:rFonts w:ascii="Arial" w:hAnsi="Arial" w:cs="Arial"/>
                <w:sz w:val="20"/>
                <w:szCs w:val="20"/>
              </w:rPr>
            </w:pPr>
            <w:r w:rsidRPr="007F6C68">
              <w:rPr>
                <w:rFonts w:ascii="Arial" w:hAnsi="Arial" w:cs="Arial"/>
                <w:sz w:val="20"/>
                <w:szCs w:val="20"/>
              </w:rPr>
              <w:t xml:space="preserve">Nove dejavnosti, partnerstva in storitve, ki </w:t>
            </w:r>
            <w:r w:rsidR="00C55FED" w:rsidRPr="007F6C68">
              <w:rPr>
                <w:rFonts w:ascii="Arial" w:hAnsi="Arial" w:cs="Arial"/>
                <w:sz w:val="20"/>
                <w:szCs w:val="20"/>
              </w:rPr>
              <w:t>pripomorejo k spremembam</w:t>
            </w:r>
          </w:p>
        </w:tc>
      </w:tr>
      <w:tr w:rsidR="007F6C68" w:rsidRPr="007F6C68" w:rsidTr="00F72E0B">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Agro-ekologija</w:t>
            </w:r>
          </w:p>
        </w:tc>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Kako so načini kmetovanja povezani z ekologijo, kako priti do boljših, bolj zelenih rezultatov</w:t>
            </w:r>
          </w:p>
        </w:tc>
      </w:tr>
      <w:tr w:rsidR="007F6C68" w:rsidRPr="007F6C68" w:rsidTr="00F72E0B">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 xml:space="preserve">Digitalni prehod </w:t>
            </w:r>
            <w:proofErr w:type="spellStart"/>
            <w:r w:rsidRPr="007F6C68">
              <w:rPr>
                <w:rFonts w:ascii="Arial" w:hAnsi="Arial" w:cs="Arial"/>
                <w:sz w:val="20"/>
                <w:szCs w:val="20"/>
              </w:rPr>
              <w:t>biogospodarstva</w:t>
            </w:r>
            <w:proofErr w:type="spellEnd"/>
          </w:p>
        </w:tc>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Nova orodja, storitve in politike na področju digitalnih tehnologij, ki lahko pospešijo spremembe</w:t>
            </w:r>
          </w:p>
        </w:tc>
      </w:tr>
      <w:tr w:rsidR="007F6C68" w:rsidRPr="007F6C68" w:rsidTr="00F72E0B">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Predvidljivost</w:t>
            </w:r>
          </w:p>
        </w:tc>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Nove raziskovalne metode, ki omogočajo spremljanje in razumevanje, kako naj bi glavni trendi in tehnologije oblikovali našo prihodnost ter kako se na to pripraviti</w:t>
            </w:r>
          </w:p>
        </w:tc>
      </w:tr>
      <w:tr w:rsidR="007F6C68" w:rsidRPr="007F6C68" w:rsidTr="00F72E0B">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Soočenje s katastrofo</w:t>
            </w:r>
          </w:p>
        </w:tc>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Razumeti, da šoki nekatere ljudi in regije huje prizadenejo, kako se bolje pripraviti nanje</w:t>
            </w:r>
          </w:p>
        </w:tc>
      </w:tr>
      <w:tr w:rsidR="007F6C68" w:rsidRPr="007F6C68" w:rsidTr="00F72E0B">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Financiranje prehoda</w:t>
            </w:r>
          </w:p>
        </w:tc>
        <w:tc>
          <w:tcPr>
            <w:tcW w:w="4606" w:type="dxa"/>
          </w:tcPr>
          <w:p w:rsidR="00F72E0B" w:rsidRPr="007F6C68" w:rsidRDefault="00C55FED" w:rsidP="007F6C68">
            <w:pPr>
              <w:jc w:val="both"/>
              <w:rPr>
                <w:rFonts w:ascii="Arial" w:hAnsi="Arial" w:cs="Arial"/>
                <w:sz w:val="20"/>
                <w:szCs w:val="20"/>
              </w:rPr>
            </w:pPr>
            <w:r w:rsidRPr="007F6C68">
              <w:rPr>
                <w:rFonts w:ascii="Arial" w:hAnsi="Arial" w:cs="Arial"/>
                <w:sz w:val="20"/>
                <w:szCs w:val="20"/>
              </w:rPr>
              <w:t>Kako finančni trgi, dolg, subvencije in naložbe vplivajo na način pridelave in uživanja hrane ter kako te dejavnike uporabiti tako, da bodo podpirali spremembe, ne jih ovirali</w:t>
            </w:r>
          </w:p>
        </w:tc>
      </w:tr>
    </w:tbl>
    <w:p w:rsidR="00F72E0B" w:rsidRPr="007F6C68" w:rsidRDefault="00C55FED" w:rsidP="007F6C68">
      <w:pPr>
        <w:jc w:val="both"/>
        <w:rPr>
          <w:rFonts w:ascii="Arial" w:hAnsi="Arial" w:cs="Arial"/>
          <w:sz w:val="20"/>
          <w:szCs w:val="20"/>
        </w:rPr>
      </w:pPr>
      <w:r w:rsidRPr="007F6C68">
        <w:rPr>
          <w:rFonts w:ascii="Arial" w:hAnsi="Arial" w:cs="Arial"/>
          <w:sz w:val="20"/>
          <w:szCs w:val="20"/>
        </w:rPr>
        <w:t>Vir: Poročilo</w:t>
      </w:r>
    </w:p>
    <w:p w:rsidR="00143A06" w:rsidRPr="007F6C68" w:rsidRDefault="00143A06" w:rsidP="007F6C68">
      <w:pPr>
        <w:jc w:val="both"/>
        <w:rPr>
          <w:rFonts w:ascii="Arial" w:hAnsi="Arial" w:cs="Arial"/>
          <w:sz w:val="20"/>
          <w:szCs w:val="20"/>
        </w:rPr>
      </w:pPr>
      <w:r w:rsidRPr="007F6C68">
        <w:rPr>
          <w:rFonts w:ascii="Arial" w:hAnsi="Arial" w:cs="Arial"/>
          <w:sz w:val="20"/>
          <w:szCs w:val="20"/>
        </w:rPr>
        <w:lastRenderedPageBreak/>
        <w:t>Strokovna skupina spomni, da Evropska komisija v okviru programa Obzorje Evropa načrtuje vzpostavitev več javno-zasebnih partnerstev, ki bodo vključevala področje hrane in kmetijstva, pa tudi njun vpliv na okolje in družbo.</w:t>
      </w:r>
    </w:p>
    <w:p w:rsidR="00143A06" w:rsidRPr="007F6C68" w:rsidRDefault="00143A06" w:rsidP="007F6C68">
      <w:pPr>
        <w:jc w:val="both"/>
        <w:rPr>
          <w:rFonts w:ascii="Arial" w:hAnsi="Arial" w:cs="Arial"/>
          <w:b/>
          <w:sz w:val="20"/>
          <w:szCs w:val="20"/>
        </w:rPr>
      </w:pPr>
      <w:r w:rsidRPr="007F6C68">
        <w:rPr>
          <w:rFonts w:ascii="Arial" w:hAnsi="Arial" w:cs="Arial"/>
          <w:b/>
          <w:sz w:val="20"/>
          <w:szCs w:val="20"/>
        </w:rPr>
        <w:t>Koristne informacije:</w:t>
      </w:r>
    </w:p>
    <w:p w:rsidR="00143A06" w:rsidRPr="007F6C68" w:rsidRDefault="00143A06" w:rsidP="007F6C68">
      <w:pPr>
        <w:pStyle w:val="Odstavekseznama"/>
        <w:numPr>
          <w:ilvl w:val="0"/>
          <w:numId w:val="4"/>
        </w:numPr>
        <w:jc w:val="both"/>
        <w:rPr>
          <w:rFonts w:ascii="Arial" w:hAnsi="Arial" w:cs="Arial"/>
          <w:sz w:val="20"/>
          <w:szCs w:val="20"/>
        </w:rPr>
      </w:pPr>
      <w:r w:rsidRPr="007F6C68">
        <w:rPr>
          <w:rFonts w:ascii="Arial" w:hAnsi="Arial" w:cs="Arial"/>
          <w:sz w:val="20"/>
          <w:szCs w:val="20"/>
        </w:rPr>
        <w:t>Poročilo:</w:t>
      </w:r>
    </w:p>
    <w:p w:rsidR="00143A06" w:rsidRPr="007F6C68" w:rsidRDefault="00143A06" w:rsidP="007F6C68">
      <w:pPr>
        <w:pStyle w:val="Odstavekseznama"/>
        <w:numPr>
          <w:ilvl w:val="0"/>
          <w:numId w:val="4"/>
        </w:numPr>
        <w:jc w:val="both"/>
        <w:rPr>
          <w:rFonts w:ascii="Arial" w:hAnsi="Arial" w:cs="Arial"/>
          <w:sz w:val="20"/>
          <w:szCs w:val="20"/>
        </w:rPr>
      </w:pPr>
      <w:hyperlink r:id="rId6" w:history="1">
        <w:r w:rsidRPr="007F6C68">
          <w:rPr>
            <w:rStyle w:val="Hiperpovezava"/>
            <w:rFonts w:ascii="Arial" w:hAnsi="Arial" w:cs="Arial"/>
            <w:sz w:val="20"/>
            <w:szCs w:val="20"/>
          </w:rPr>
          <w:t>https://op.europa.eu/en/publication-detail/-/publication/98f123a1-4404-11eb-b59f-01aa75ed71a1/language-en/format-PDF/source-181007420</w:t>
        </w:r>
      </w:hyperlink>
    </w:p>
    <w:p w:rsidR="00143A06" w:rsidRPr="007F6C68" w:rsidRDefault="00143A06" w:rsidP="007F6C68">
      <w:pPr>
        <w:spacing w:after="0"/>
        <w:jc w:val="both"/>
        <w:rPr>
          <w:rFonts w:ascii="Arial" w:hAnsi="Arial" w:cs="Arial"/>
          <w:sz w:val="20"/>
          <w:szCs w:val="20"/>
        </w:rPr>
      </w:pPr>
      <w:r w:rsidRPr="007F6C68">
        <w:rPr>
          <w:rFonts w:ascii="Arial" w:hAnsi="Arial" w:cs="Arial"/>
          <w:sz w:val="20"/>
          <w:szCs w:val="20"/>
        </w:rPr>
        <w:t>Pripravila:</w:t>
      </w:r>
    </w:p>
    <w:p w:rsidR="00143A06" w:rsidRPr="007F6C68" w:rsidRDefault="00143A06" w:rsidP="007F6C68">
      <w:pPr>
        <w:spacing w:after="0"/>
        <w:jc w:val="both"/>
        <w:rPr>
          <w:rFonts w:ascii="Arial" w:hAnsi="Arial" w:cs="Arial"/>
          <w:sz w:val="20"/>
          <w:szCs w:val="20"/>
        </w:rPr>
      </w:pPr>
      <w:r w:rsidRPr="007F6C68">
        <w:rPr>
          <w:rFonts w:ascii="Arial" w:hAnsi="Arial" w:cs="Arial"/>
          <w:sz w:val="20"/>
          <w:szCs w:val="20"/>
        </w:rPr>
        <w:t>Darja Kocbek</w:t>
      </w:r>
    </w:p>
    <w:sectPr w:rsidR="00143A06" w:rsidRPr="007F6C68" w:rsidSect="00F744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16C9"/>
    <w:multiLevelType w:val="hybridMultilevel"/>
    <w:tmpl w:val="596E3188"/>
    <w:lvl w:ilvl="0" w:tplc="9DF8E03E">
      <w:start w:val="2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5F59C7"/>
    <w:multiLevelType w:val="hybridMultilevel"/>
    <w:tmpl w:val="BFD875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2FA6A6D"/>
    <w:multiLevelType w:val="hybridMultilevel"/>
    <w:tmpl w:val="685E445C"/>
    <w:lvl w:ilvl="0" w:tplc="9DF8E03E">
      <w:start w:val="2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A7026F6"/>
    <w:multiLevelType w:val="hybridMultilevel"/>
    <w:tmpl w:val="B2420784"/>
    <w:lvl w:ilvl="0" w:tplc="9DF8E03E">
      <w:start w:val="2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7B5B"/>
    <w:rsid w:val="00143A06"/>
    <w:rsid w:val="00556858"/>
    <w:rsid w:val="007F6C68"/>
    <w:rsid w:val="009C37D9"/>
    <w:rsid w:val="00C101CC"/>
    <w:rsid w:val="00C55FED"/>
    <w:rsid w:val="00C57B5B"/>
    <w:rsid w:val="00F72E0B"/>
    <w:rsid w:val="00F744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445F"/>
  </w:style>
  <w:style w:type="paragraph" w:styleId="Naslov2">
    <w:name w:val="heading 2"/>
    <w:basedOn w:val="Navaden"/>
    <w:next w:val="Navaden"/>
    <w:link w:val="Naslov2Znak"/>
    <w:uiPriority w:val="9"/>
    <w:semiHidden/>
    <w:unhideWhenUsed/>
    <w:qFormat/>
    <w:rsid w:val="00C101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2E0B"/>
    <w:pPr>
      <w:ind w:left="720"/>
      <w:contextualSpacing/>
    </w:pPr>
  </w:style>
  <w:style w:type="table" w:styleId="Tabela-mrea">
    <w:name w:val="Table Grid"/>
    <w:basedOn w:val="Navadnatabela"/>
    <w:uiPriority w:val="59"/>
    <w:rsid w:val="00F72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43A06"/>
    <w:rPr>
      <w:color w:val="0000FF" w:themeColor="hyperlink"/>
      <w:u w:val="single"/>
    </w:rPr>
  </w:style>
  <w:style w:type="character" w:customStyle="1" w:styleId="Naslov2Znak">
    <w:name w:val="Naslov 2 Znak"/>
    <w:basedOn w:val="Privzetapisavaodstavka"/>
    <w:link w:val="Naslov2"/>
    <w:uiPriority w:val="9"/>
    <w:semiHidden/>
    <w:rsid w:val="00C101C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101C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0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98f123a1-4404-11eb-b59f-01aa75ed71a1/language-en/format-PDF/source-1810074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357</Words>
  <Characters>2039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2021-01-20T20:29:00Z</dcterms:created>
  <dcterms:modified xsi:type="dcterms:W3CDTF">2021-01-20T21:27:00Z</dcterms:modified>
</cp:coreProperties>
</file>