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07" w:rsidRPr="00F973D8" w:rsidRDefault="000E2C07" w:rsidP="000E2C07">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E2C07" w:rsidRPr="00F973D8" w:rsidRDefault="000E2C07" w:rsidP="000E2C07">
      <w:pPr>
        <w:pStyle w:val="Naslov2"/>
        <w:tabs>
          <w:tab w:val="left" w:pos="3120"/>
        </w:tabs>
        <w:jc w:val="center"/>
        <w:rPr>
          <w:b w:val="0"/>
          <w:bCs w:val="0"/>
          <w:i/>
          <w:iCs/>
          <w:sz w:val="22"/>
        </w:rPr>
      </w:pPr>
      <w:r w:rsidRPr="00F973D8">
        <w:rPr>
          <w:b w:val="0"/>
          <w:bCs w:val="0"/>
          <w:sz w:val="22"/>
        </w:rPr>
        <w:t>Slovensko gospodarsko in raziskovalno združenje, Bruselj</w:t>
      </w:r>
    </w:p>
    <w:p w:rsidR="000E2C07" w:rsidRPr="00F973D8" w:rsidRDefault="000E2C07" w:rsidP="000E2C07">
      <w:pPr>
        <w:pBdr>
          <w:bottom w:val="single" w:sz="6" w:space="1" w:color="auto"/>
        </w:pBdr>
        <w:tabs>
          <w:tab w:val="left" w:pos="3120"/>
        </w:tabs>
        <w:jc w:val="center"/>
        <w:rPr>
          <w:sz w:val="16"/>
          <w:szCs w:val="16"/>
        </w:rPr>
      </w:pPr>
    </w:p>
    <w:p w:rsidR="000E2C07" w:rsidRPr="002414B9" w:rsidRDefault="000E2C07" w:rsidP="000E2C07">
      <w:pPr>
        <w:tabs>
          <w:tab w:val="left" w:pos="3120"/>
        </w:tabs>
        <w:jc w:val="center"/>
        <w:rPr>
          <w:rFonts w:ascii="Arial" w:hAnsi="Arial" w:cs="Arial"/>
          <w:b/>
        </w:rPr>
      </w:pPr>
      <w:r>
        <w:rPr>
          <w:rFonts w:ascii="Arial" w:hAnsi="Arial" w:cs="Arial"/>
          <w:b/>
        </w:rPr>
        <w:t>Občasna informacija članom 159</w:t>
      </w:r>
      <w:r w:rsidRPr="002414B9">
        <w:rPr>
          <w:rFonts w:ascii="Arial" w:hAnsi="Arial" w:cs="Arial"/>
          <w:b/>
        </w:rPr>
        <w:t xml:space="preserve"> – 2017</w:t>
      </w:r>
    </w:p>
    <w:p w:rsidR="000E2C07" w:rsidRPr="00F973D8" w:rsidRDefault="000E2C07" w:rsidP="000E2C07">
      <w:pPr>
        <w:pStyle w:val="Brezrazmikov"/>
        <w:jc w:val="center"/>
        <w:rPr>
          <w:rFonts w:ascii="Arial" w:hAnsi="Arial" w:cs="Arial"/>
          <w:b/>
        </w:rPr>
      </w:pPr>
      <w:r>
        <w:rPr>
          <w:rFonts w:ascii="Arial" w:hAnsi="Arial" w:cs="Arial"/>
          <w:b/>
        </w:rPr>
        <w:t>30</w:t>
      </w:r>
      <w:r w:rsidRPr="00F973D8">
        <w:rPr>
          <w:rFonts w:ascii="Arial" w:hAnsi="Arial" w:cs="Arial"/>
          <w:b/>
        </w:rPr>
        <w:t>. oktober 2017</w:t>
      </w:r>
    </w:p>
    <w:p w:rsidR="004961D8" w:rsidRDefault="000E2C07" w:rsidP="000E2C07">
      <w:pPr>
        <w:jc w:val="center"/>
        <w:rPr>
          <w:rFonts w:ascii="Arial" w:hAnsi="Arial" w:cs="Arial"/>
          <w:b/>
          <w:i/>
        </w:rPr>
      </w:pPr>
      <w:r>
        <w:rPr>
          <w:rFonts w:ascii="Arial" w:hAnsi="Arial" w:cs="Arial"/>
          <w:b/>
          <w:color w:val="993300"/>
          <w:sz w:val="32"/>
          <w:szCs w:val="32"/>
        </w:rPr>
        <w:t>Objavljen je razpis za zbiranje predlogov projektov za trajnostno modro gospodarstvo</w:t>
      </w:r>
    </w:p>
    <w:p w:rsidR="00B459D4" w:rsidRPr="00B22447" w:rsidRDefault="00810E3D" w:rsidP="00B22447">
      <w:pPr>
        <w:rPr>
          <w:rFonts w:ascii="Arial" w:hAnsi="Arial" w:cs="Arial"/>
          <w:b/>
          <w:i/>
        </w:rPr>
      </w:pPr>
      <w:r w:rsidRPr="00B22447">
        <w:rPr>
          <w:rFonts w:ascii="Arial" w:hAnsi="Arial" w:cs="Arial"/>
          <w:b/>
          <w:i/>
        </w:rPr>
        <w:t>Evropski sklad za pomorstvo in ribištvo je objavil javni razpis za zbiranje predlogov projektov za trajnostno modro gospodarstvo. Na voljo je 14,5 milijona evrov za štiri področja, ki so demonstracija &amp; trg, boj proti smetem v morju, morda omrežja in obnova ekosistemov. Roka za oddajo predlogov projektov sta 8. in 28. februar 2018. Evropska komisija pričakuje projekte, ki se osredotočajo na inovacije in približanje rezultatov bliže trgu, na povečanje kapacitet in mreženje za trajnostno rabo morij. Razpis ima štiri nize.</w:t>
      </w:r>
    </w:p>
    <w:p w:rsidR="00810E3D" w:rsidRPr="00B22447" w:rsidRDefault="00810E3D" w:rsidP="00B22447">
      <w:pPr>
        <w:rPr>
          <w:rFonts w:ascii="Arial" w:hAnsi="Arial" w:cs="Arial"/>
          <w:b/>
          <w:sz w:val="20"/>
          <w:szCs w:val="20"/>
        </w:rPr>
      </w:pPr>
      <w:r w:rsidRPr="00B22447">
        <w:rPr>
          <w:rFonts w:ascii="Arial" w:hAnsi="Arial" w:cs="Arial"/>
          <w:b/>
          <w:sz w:val="20"/>
          <w:szCs w:val="20"/>
        </w:rPr>
        <w:t>Tabela 1: Nizi razpisa</w:t>
      </w:r>
    </w:p>
    <w:tbl>
      <w:tblPr>
        <w:tblStyle w:val="Tabela-mrea"/>
        <w:tblW w:w="0" w:type="auto"/>
        <w:tblLook w:val="04A0"/>
      </w:tblPr>
      <w:tblGrid>
        <w:gridCol w:w="3070"/>
        <w:gridCol w:w="3071"/>
        <w:gridCol w:w="3071"/>
      </w:tblGrid>
      <w:tr w:rsidR="00810E3D" w:rsidRPr="00B22447" w:rsidTr="00810E3D">
        <w:tc>
          <w:tcPr>
            <w:tcW w:w="3070" w:type="dxa"/>
          </w:tcPr>
          <w:p w:rsidR="00810E3D" w:rsidRPr="00B22447" w:rsidRDefault="00810E3D" w:rsidP="00B22447">
            <w:pPr>
              <w:rPr>
                <w:rFonts w:ascii="Arial" w:hAnsi="Arial" w:cs="Arial"/>
                <w:b/>
                <w:sz w:val="20"/>
                <w:szCs w:val="20"/>
              </w:rPr>
            </w:pPr>
            <w:r w:rsidRPr="00B22447">
              <w:rPr>
                <w:rFonts w:ascii="Arial" w:hAnsi="Arial" w:cs="Arial"/>
                <w:b/>
                <w:sz w:val="20"/>
                <w:szCs w:val="20"/>
              </w:rPr>
              <w:t>Niz</w:t>
            </w:r>
          </w:p>
        </w:tc>
        <w:tc>
          <w:tcPr>
            <w:tcW w:w="3071" w:type="dxa"/>
          </w:tcPr>
          <w:p w:rsidR="00810E3D" w:rsidRPr="00B22447" w:rsidRDefault="00810E3D" w:rsidP="00B22447">
            <w:pPr>
              <w:rPr>
                <w:rFonts w:ascii="Arial" w:hAnsi="Arial" w:cs="Arial"/>
                <w:b/>
                <w:sz w:val="20"/>
                <w:szCs w:val="20"/>
              </w:rPr>
            </w:pPr>
            <w:r w:rsidRPr="00B22447">
              <w:rPr>
                <w:rFonts w:ascii="Arial" w:hAnsi="Arial" w:cs="Arial"/>
                <w:b/>
                <w:sz w:val="20"/>
                <w:szCs w:val="20"/>
              </w:rPr>
              <w:t xml:space="preserve">Proračun </w:t>
            </w:r>
          </w:p>
        </w:tc>
        <w:tc>
          <w:tcPr>
            <w:tcW w:w="3071" w:type="dxa"/>
          </w:tcPr>
          <w:p w:rsidR="00810E3D" w:rsidRPr="00B22447" w:rsidRDefault="00810E3D" w:rsidP="00B22447">
            <w:pPr>
              <w:rPr>
                <w:rFonts w:ascii="Arial" w:hAnsi="Arial" w:cs="Arial"/>
                <w:b/>
                <w:sz w:val="20"/>
                <w:szCs w:val="20"/>
              </w:rPr>
            </w:pPr>
            <w:r w:rsidRPr="00B22447">
              <w:rPr>
                <w:rFonts w:ascii="Arial" w:hAnsi="Arial" w:cs="Arial"/>
                <w:b/>
                <w:sz w:val="20"/>
                <w:szCs w:val="20"/>
              </w:rPr>
              <w:t>Rok za prijavo</w:t>
            </w:r>
          </w:p>
        </w:tc>
      </w:tr>
      <w:tr w:rsidR="00810E3D" w:rsidRPr="00B22447" w:rsidTr="00810E3D">
        <w:tc>
          <w:tcPr>
            <w:tcW w:w="3070" w:type="dxa"/>
          </w:tcPr>
          <w:p w:rsidR="00810E3D" w:rsidRPr="00B22447" w:rsidRDefault="00810E3D" w:rsidP="00B22447">
            <w:pPr>
              <w:rPr>
                <w:rFonts w:ascii="Arial" w:hAnsi="Arial" w:cs="Arial"/>
                <w:sz w:val="20"/>
                <w:szCs w:val="20"/>
              </w:rPr>
            </w:pPr>
            <w:r w:rsidRPr="00B22447">
              <w:rPr>
                <w:rFonts w:ascii="Arial" w:hAnsi="Arial" w:cs="Arial"/>
                <w:sz w:val="20"/>
                <w:szCs w:val="20"/>
              </w:rPr>
              <w:t>Demonstracijski projekti za modro gospodarstvo</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8.000.000</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28/2/2018</w:t>
            </w:r>
          </w:p>
        </w:tc>
      </w:tr>
      <w:tr w:rsidR="00810E3D" w:rsidRPr="00B22447" w:rsidTr="00810E3D">
        <w:tc>
          <w:tcPr>
            <w:tcW w:w="3070" w:type="dxa"/>
          </w:tcPr>
          <w:p w:rsidR="00810E3D" w:rsidRPr="00B22447" w:rsidRDefault="00810E3D" w:rsidP="00B22447">
            <w:pPr>
              <w:rPr>
                <w:rFonts w:ascii="Arial" w:hAnsi="Arial" w:cs="Arial"/>
                <w:sz w:val="20"/>
                <w:szCs w:val="20"/>
              </w:rPr>
            </w:pPr>
            <w:r w:rsidRPr="00B22447">
              <w:rPr>
                <w:rFonts w:ascii="Arial" w:hAnsi="Arial" w:cs="Arial"/>
                <w:sz w:val="20"/>
                <w:szCs w:val="20"/>
              </w:rPr>
              <w:t>Učinkovite strategije in tehnologije za boj proti smeteh v morju</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2.000.000</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8/2/2018</w:t>
            </w:r>
          </w:p>
        </w:tc>
      </w:tr>
      <w:tr w:rsidR="00810E3D" w:rsidRPr="00B22447" w:rsidTr="00810E3D">
        <w:tc>
          <w:tcPr>
            <w:tcW w:w="3070" w:type="dxa"/>
          </w:tcPr>
          <w:p w:rsidR="00810E3D" w:rsidRPr="00B22447" w:rsidRDefault="00810E3D" w:rsidP="00B22447">
            <w:pPr>
              <w:rPr>
                <w:rFonts w:ascii="Arial" w:hAnsi="Arial" w:cs="Arial"/>
                <w:sz w:val="20"/>
                <w:szCs w:val="20"/>
              </w:rPr>
            </w:pPr>
            <w:r w:rsidRPr="00B22447">
              <w:rPr>
                <w:rFonts w:ascii="Arial" w:hAnsi="Arial" w:cs="Arial"/>
                <w:sz w:val="20"/>
                <w:szCs w:val="20"/>
              </w:rPr>
              <w:t>Modra omrežja za Sredozemlje</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3.000.000</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28/2/2018</w:t>
            </w:r>
          </w:p>
        </w:tc>
      </w:tr>
      <w:tr w:rsidR="00810E3D" w:rsidRPr="00B22447" w:rsidTr="00810E3D">
        <w:tc>
          <w:tcPr>
            <w:tcW w:w="3070" w:type="dxa"/>
          </w:tcPr>
          <w:p w:rsidR="00810E3D" w:rsidRPr="00B22447" w:rsidRDefault="00810E3D" w:rsidP="00B22447">
            <w:pPr>
              <w:rPr>
                <w:rFonts w:ascii="Arial" w:hAnsi="Arial" w:cs="Arial"/>
                <w:sz w:val="20"/>
                <w:szCs w:val="20"/>
              </w:rPr>
            </w:pPr>
            <w:r w:rsidRPr="00B22447">
              <w:rPr>
                <w:rFonts w:ascii="Arial" w:hAnsi="Arial" w:cs="Arial"/>
                <w:sz w:val="20"/>
                <w:szCs w:val="20"/>
              </w:rPr>
              <w:t>Skupni ukrepi za trajnostno modro gospodarstvo v Sredozemlju</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1.500.000</w:t>
            </w:r>
          </w:p>
        </w:tc>
        <w:tc>
          <w:tcPr>
            <w:tcW w:w="3071" w:type="dxa"/>
          </w:tcPr>
          <w:p w:rsidR="00810E3D" w:rsidRPr="00B22447" w:rsidRDefault="00810E3D" w:rsidP="00B22447">
            <w:pPr>
              <w:rPr>
                <w:rFonts w:ascii="Arial" w:hAnsi="Arial" w:cs="Arial"/>
                <w:sz w:val="20"/>
                <w:szCs w:val="20"/>
              </w:rPr>
            </w:pPr>
            <w:r w:rsidRPr="00B22447">
              <w:rPr>
                <w:rFonts w:ascii="Arial" w:hAnsi="Arial" w:cs="Arial"/>
                <w:sz w:val="20"/>
                <w:szCs w:val="20"/>
              </w:rPr>
              <w:t>8/2/2018</w:t>
            </w:r>
          </w:p>
        </w:tc>
      </w:tr>
    </w:tbl>
    <w:p w:rsidR="00810E3D" w:rsidRPr="00B22447" w:rsidRDefault="00810E3D" w:rsidP="00B22447">
      <w:pPr>
        <w:rPr>
          <w:rFonts w:ascii="Arial" w:hAnsi="Arial" w:cs="Arial"/>
          <w:sz w:val="20"/>
          <w:szCs w:val="20"/>
        </w:rPr>
      </w:pPr>
      <w:r w:rsidRPr="00B22447">
        <w:rPr>
          <w:rFonts w:ascii="Arial" w:hAnsi="Arial" w:cs="Arial"/>
          <w:sz w:val="20"/>
          <w:szCs w:val="20"/>
        </w:rPr>
        <w:t>Vir: Razpis</w:t>
      </w:r>
    </w:p>
    <w:p w:rsidR="00401761" w:rsidRDefault="00810E3D" w:rsidP="00B22447">
      <w:pPr>
        <w:rPr>
          <w:rFonts w:ascii="Arial" w:hAnsi="Arial" w:cs="Arial"/>
          <w:sz w:val="20"/>
          <w:szCs w:val="20"/>
        </w:rPr>
      </w:pPr>
      <w:r w:rsidRPr="00B22447">
        <w:rPr>
          <w:rFonts w:ascii="Arial" w:hAnsi="Arial" w:cs="Arial"/>
          <w:sz w:val="20"/>
          <w:szCs w:val="20"/>
        </w:rPr>
        <w:t>Evropska komisija bo o razpisu 9. novembra v Bruslju organizirala informativni dan za katerega se je mogoče registrirati do 3. novembra.</w:t>
      </w:r>
      <w:r w:rsidR="00401761">
        <w:rPr>
          <w:rFonts w:ascii="Arial" w:hAnsi="Arial" w:cs="Arial"/>
          <w:sz w:val="20"/>
          <w:szCs w:val="20"/>
        </w:rPr>
        <w:t xml:space="preserve"> </w:t>
      </w:r>
    </w:p>
    <w:p w:rsidR="00B847DE" w:rsidRPr="00B22447" w:rsidRDefault="00B847DE" w:rsidP="00B22447">
      <w:pPr>
        <w:rPr>
          <w:rFonts w:ascii="Arial" w:hAnsi="Arial" w:cs="Arial"/>
          <w:sz w:val="20"/>
          <w:szCs w:val="20"/>
        </w:rPr>
      </w:pPr>
      <w:r w:rsidRPr="00B22447">
        <w:rPr>
          <w:rFonts w:ascii="Arial" w:hAnsi="Arial" w:cs="Arial"/>
          <w:sz w:val="20"/>
          <w:szCs w:val="20"/>
        </w:rPr>
        <w:t>Delež sofinanciranja EU za izbrane projekte znaša do 80 odstotkov, projekte lahko prijavijo konzorciji iz vsaj dveh organizacij iz dveh držav članic.</w:t>
      </w:r>
    </w:p>
    <w:p w:rsidR="00B847DE" w:rsidRPr="00B22447" w:rsidRDefault="00B847DE" w:rsidP="00B22447">
      <w:pPr>
        <w:rPr>
          <w:rFonts w:ascii="Arial" w:hAnsi="Arial" w:cs="Arial"/>
          <w:b/>
          <w:sz w:val="20"/>
          <w:szCs w:val="20"/>
        </w:rPr>
      </w:pPr>
      <w:r w:rsidRPr="00B22447">
        <w:rPr>
          <w:rFonts w:ascii="Arial" w:hAnsi="Arial" w:cs="Arial"/>
          <w:b/>
          <w:sz w:val="20"/>
          <w:szCs w:val="20"/>
        </w:rPr>
        <w:t>Koristne informacije:</w:t>
      </w:r>
    </w:p>
    <w:p w:rsidR="00B847DE" w:rsidRPr="00B22447" w:rsidRDefault="00B847DE" w:rsidP="00B22447">
      <w:pPr>
        <w:pStyle w:val="Odstavekseznama"/>
        <w:numPr>
          <w:ilvl w:val="0"/>
          <w:numId w:val="1"/>
        </w:numPr>
        <w:rPr>
          <w:rFonts w:ascii="Arial" w:hAnsi="Arial" w:cs="Arial"/>
          <w:sz w:val="20"/>
          <w:szCs w:val="20"/>
        </w:rPr>
      </w:pPr>
      <w:r w:rsidRPr="00B22447">
        <w:rPr>
          <w:rFonts w:ascii="Arial" w:hAnsi="Arial" w:cs="Arial"/>
          <w:sz w:val="20"/>
          <w:szCs w:val="20"/>
        </w:rPr>
        <w:t>Spletna stran s povezavami na dokumente razpisa:</w:t>
      </w:r>
    </w:p>
    <w:p w:rsidR="00B847DE" w:rsidRDefault="00B847DE" w:rsidP="00B22447">
      <w:pPr>
        <w:pStyle w:val="Odstavekseznama"/>
        <w:numPr>
          <w:ilvl w:val="0"/>
          <w:numId w:val="1"/>
        </w:numPr>
        <w:rPr>
          <w:rFonts w:ascii="Arial" w:hAnsi="Arial" w:cs="Arial"/>
          <w:sz w:val="20"/>
          <w:szCs w:val="20"/>
        </w:rPr>
      </w:pPr>
      <w:hyperlink r:id="rId6" w:history="1">
        <w:r w:rsidRPr="00B22447">
          <w:rPr>
            <w:rStyle w:val="Hiperpovezava"/>
            <w:rFonts w:ascii="Arial" w:hAnsi="Arial" w:cs="Arial"/>
            <w:sz w:val="20"/>
            <w:szCs w:val="20"/>
          </w:rPr>
          <w:t>https://ec.europa.eu/easme/en/news/new-funding-opportunity-145-million-sustainable-blue-economy-call</w:t>
        </w:r>
      </w:hyperlink>
    </w:p>
    <w:p w:rsidR="00401761" w:rsidRPr="00B22447" w:rsidRDefault="00401761" w:rsidP="00401761">
      <w:pPr>
        <w:pStyle w:val="Odstavekseznama"/>
        <w:rPr>
          <w:rFonts w:ascii="Arial" w:hAnsi="Arial" w:cs="Arial"/>
          <w:sz w:val="20"/>
          <w:szCs w:val="20"/>
        </w:rPr>
      </w:pPr>
    </w:p>
    <w:p w:rsidR="00B847DE" w:rsidRPr="00B22447" w:rsidRDefault="00B847DE" w:rsidP="00B22447">
      <w:pPr>
        <w:pStyle w:val="Odstavekseznama"/>
        <w:numPr>
          <w:ilvl w:val="0"/>
          <w:numId w:val="1"/>
        </w:numPr>
        <w:rPr>
          <w:rFonts w:ascii="Arial" w:hAnsi="Arial" w:cs="Arial"/>
          <w:sz w:val="20"/>
          <w:szCs w:val="20"/>
        </w:rPr>
      </w:pPr>
      <w:r w:rsidRPr="00B22447">
        <w:rPr>
          <w:rFonts w:ascii="Arial" w:hAnsi="Arial" w:cs="Arial"/>
          <w:sz w:val="20"/>
          <w:szCs w:val="20"/>
        </w:rPr>
        <w:t>Dnevni red za informativni dan:</w:t>
      </w:r>
    </w:p>
    <w:p w:rsidR="00B847DE" w:rsidRPr="00B22447" w:rsidRDefault="00B847DE" w:rsidP="00B22447">
      <w:pPr>
        <w:pStyle w:val="Odstavekseznama"/>
        <w:numPr>
          <w:ilvl w:val="0"/>
          <w:numId w:val="1"/>
        </w:numPr>
        <w:rPr>
          <w:rFonts w:ascii="Arial" w:hAnsi="Arial" w:cs="Arial"/>
          <w:sz w:val="20"/>
          <w:szCs w:val="20"/>
        </w:rPr>
      </w:pPr>
      <w:hyperlink r:id="rId7" w:history="1">
        <w:r w:rsidRPr="00B22447">
          <w:rPr>
            <w:rStyle w:val="Hiperpovezava"/>
            <w:rFonts w:ascii="Arial" w:hAnsi="Arial" w:cs="Arial"/>
            <w:sz w:val="20"/>
            <w:szCs w:val="20"/>
          </w:rPr>
          <w:t>https://ec.europa.eu/easme/sites/easme-site/files/final.emff_infoday_agenda_web.pdf</w:t>
        </w:r>
      </w:hyperlink>
    </w:p>
    <w:p w:rsidR="00B847DE" w:rsidRPr="00B22447" w:rsidRDefault="00B847DE" w:rsidP="00B22447">
      <w:pPr>
        <w:pStyle w:val="Odstavekseznama"/>
        <w:numPr>
          <w:ilvl w:val="0"/>
          <w:numId w:val="1"/>
        </w:numPr>
        <w:rPr>
          <w:rFonts w:ascii="Arial" w:hAnsi="Arial" w:cs="Arial"/>
          <w:sz w:val="20"/>
          <w:szCs w:val="20"/>
        </w:rPr>
      </w:pPr>
      <w:r w:rsidRPr="00B22447">
        <w:rPr>
          <w:rFonts w:ascii="Arial" w:hAnsi="Arial" w:cs="Arial"/>
          <w:sz w:val="20"/>
          <w:szCs w:val="20"/>
        </w:rPr>
        <w:lastRenderedPageBreak/>
        <w:t>Spletna stran registracije za informativni dan:</w:t>
      </w:r>
    </w:p>
    <w:p w:rsidR="00B847DE" w:rsidRPr="00B22447" w:rsidRDefault="00B847DE" w:rsidP="00B22447">
      <w:pPr>
        <w:pStyle w:val="Odstavekseznama"/>
        <w:numPr>
          <w:ilvl w:val="0"/>
          <w:numId w:val="1"/>
        </w:numPr>
        <w:rPr>
          <w:rFonts w:ascii="Arial" w:hAnsi="Arial" w:cs="Arial"/>
          <w:sz w:val="20"/>
          <w:szCs w:val="20"/>
        </w:rPr>
      </w:pPr>
      <w:hyperlink r:id="rId8" w:history="1">
        <w:r w:rsidRPr="00B22447">
          <w:rPr>
            <w:rStyle w:val="Hiperpovezava"/>
            <w:rFonts w:ascii="Arial" w:hAnsi="Arial" w:cs="Arial"/>
            <w:sz w:val="20"/>
            <w:szCs w:val="20"/>
          </w:rPr>
          <w:t>https://eu.eventscloud.com/ehome/emff2017/registration/</w:t>
        </w:r>
      </w:hyperlink>
    </w:p>
    <w:p w:rsidR="00B847DE" w:rsidRPr="00B22447" w:rsidRDefault="00B847DE" w:rsidP="00B22447">
      <w:pPr>
        <w:rPr>
          <w:rFonts w:ascii="Arial" w:hAnsi="Arial" w:cs="Arial"/>
          <w:sz w:val="20"/>
          <w:szCs w:val="20"/>
        </w:rPr>
      </w:pPr>
      <w:r w:rsidRPr="00B22447">
        <w:rPr>
          <w:rFonts w:ascii="Arial" w:hAnsi="Arial" w:cs="Arial"/>
          <w:sz w:val="20"/>
          <w:szCs w:val="20"/>
        </w:rPr>
        <w:t>Pripravila:</w:t>
      </w:r>
    </w:p>
    <w:p w:rsidR="00B847DE" w:rsidRPr="00B22447" w:rsidRDefault="00B847DE" w:rsidP="00B22447">
      <w:pPr>
        <w:rPr>
          <w:rFonts w:ascii="Arial" w:hAnsi="Arial" w:cs="Arial"/>
          <w:sz w:val="20"/>
          <w:szCs w:val="20"/>
        </w:rPr>
      </w:pPr>
      <w:r w:rsidRPr="00B22447">
        <w:rPr>
          <w:rFonts w:ascii="Arial" w:hAnsi="Arial" w:cs="Arial"/>
          <w:sz w:val="20"/>
          <w:szCs w:val="20"/>
        </w:rPr>
        <w:t>Darja Kocbek</w:t>
      </w:r>
    </w:p>
    <w:p w:rsidR="00810E3D" w:rsidRDefault="00810E3D"/>
    <w:sectPr w:rsidR="00810E3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151F7"/>
    <w:multiLevelType w:val="hybridMultilevel"/>
    <w:tmpl w:val="68445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0E3D"/>
    <w:rsid w:val="000E2C07"/>
    <w:rsid w:val="00401761"/>
    <w:rsid w:val="004961D8"/>
    <w:rsid w:val="004D4CAD"/>
    <w:rsid w:val="00810E3D"/>
    <w:rsid w:val="00B22447"/>
    <w:rsid w:val="00B459D4"/>
    <w:rsid w:val="00B847D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0E2C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810E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B847DE"/>
    <w:rPr>
      <w:color w:val="0000FF" w:themeColor="hyperlink"/>
      <w:u w:val="single"/>
    </w:rPr>
  </w:style>
  <w:style w:type="paragraph" w:styleId="Odstavekseznama">
    <w:name w:val="List Paragraph"/>
    <w:basedOn w:val="Navaden"/>
    <w:uiPriority w:val="34"/>
    <w:qFormat/>
    <w:rsid w:val="00B22447"/>
    <w:pPr>
      <w:ind w:left="720"/>
      <w:contextualSpacing/>
    </w:pPr>
  </w:style>
  <w:style w:type="character" w:customStyle="1" w:styleId="Naslov2Znak">
    <w:name w:val="Naslov 2 Znak"/>
    <w:basedOn w:val="Privzetapisavaodstavka"/>
    <w:link w:val="Naslov2"/>
    <w:uiPriority w:val="9"/>
    <w:semiHidden/>
    <w:rsid w:val="000E2C07"/>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0E2C07"/>
    <w:pPr>
      <w:spacing w:after="0"/>
    </w:pPr>
  </w:style>
  <w:style w:type="paragraph" w:styleId="Besedilooblaka">
    <w:name w:val="Balloon Text"/>
    <w:basedOn w:val="Navaden"/>
    <w:link w:val="BesedilooblakaZnak"/>
    <w:uiPriority w:val="99"/>
    <w:semiHidden/>
    <w:unhideWhenUsed/>
    <w:rsid w:val="000E2C0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2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eventscloud.com/ehome/emff2017/registration/" TargetMode="External"/><Relationship Id="rId3" Type="http://schemas.openxmlformats.org/officeDocument/2006/relationships/settings" Target="settings.xml"/><Relationship Id="rId7" Type="http://schemas.openxmlformats.org/officeDocument/2006/relationships/hyperlink" Target="https://ec.europa.eu/easme/sites/easme-site/files/final.emff_infoday_agenda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asme/en/news/new-funding-opportunity-145-million-sustainable-blue-economy-cal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2017-10-25T18:23:00Z</dcterms:created>
  <dcterms:modified xsi:type="dcterms:W3CDTF">2017-10-25T18:48:00Z</dcterms:modified>
</cp:coreProperties>
</file>