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AA" w:rsidRPr="00F973D8" w:rsidRDefault="002728AA" w:rsidP="002728AA">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28AA" w:rsidRPr="00F973D8" w:rsidRDefault="002728AA" w:rsidP="002728AA">
      <w:pPr>
        <w:pStyle w:val="Naslov2"/>
        <w:tabs>
          <w:tab w:val="left" w:pos="3120"/>
        </w:tabs>
        <w:jc w:val="center"/>
        <w:rPr>
          <w:b w:val="0"/>
          <w:bCs w:val="0"/>
          <w:i/>
          <w:iCs/>
          <w:sz w:val="22"/>
        </w:rPr>
      </w:pPr>
      <w:r w:rsidRPr="00F973D8">
        <w:rPr>
          <w:b w:val="0"/>
          <w:bCs w:val="0"/>
          <w:sz w:val="22"/>
        </w:rPr>
        <w:t>Slovensko gospodarsko in raziskovalno združenje, Bruselj</w:t>
      </w:r>
    </w:p>
    <w:p w:rsidR="002728AA" w:rsidRPr="00F973D8" w:rsidRDefault="002728AA" w:rsidP="002728AA">
      <w:pPr>
        <w:pBdr>
          <w:bottom w:val="single" w:sz="6" w:space="1" w:color="auto"/>
        </w:pBdr>
        <w:tabs>
          <w:tab w:val="left" w:pos="3120"/>
        </w:tabs>
        <w:jc w:val="center"/>
        <w:rPr>
          <w:sz w:val="16"/>
          <w:szCs w:val="16"/>
        </w:rPr>
      </w:pPr>
    </w:p>
    <w:p w:rsidR="002728AA" w:rsidRPr="002414B9" w:rsidRDefault="002728AA" w:rsidP="002728AA">
      <w:pPr>
        <w:tabs>
          <w:tab w:val="left" w:pos="3120"/>
        </w:tabs>
        <w:jc w:val="center"/>
        <w:rPr>
          <w:rFonts w:ascii="Arial" w:hAnsi="Arial" w:cs="Arial"/>
          <w:b/>
        </w:rPr>
      </w:pPr>
      <w:r>
        <w:rPr>
          <w:rFonts w:ascii="Arial" w:hAnsi="Arial" w:cs="Arial"/>
          <w:b/>
        </w:rPr>
        <w:t>Občasna informacija članom 158</w:t>
      </w:r>
      <w:r w:rsidRPr="002414B9">
        <w:rPr>
          <w:rFonts w:ascii="Arial" w:hAnsi="Arial" w:cs="Arial"/>
          <w:b/>
        </w:rPr>
        <w:t xml:space="preserve"> – 2017</w:t>
      </w:r>
    </w:p>
    <w:p w:rsidR="002728AA" w:rsidRPr="00F973D8" w:rsidRDefault="002728AA" w:rsidP="002728AA">
      <w:pPr>
        <w:pStyle w:val="Brezrazmikov"/>
        <w:jc w:val="center"/>
        <w:rPr>
          <w:rFonts w:ascii="Arial" w:hAnsi="Arial" w:cs="Arial"/>
          <w:b/>
        </w:rPr>
      </w:pPr>
      <w:r>
        <w:rPr>
          <w:rFonts w:ascii="Arial" w:hAnsi="Arial" w:cs="Arial"/>
          <w:b/>
        </w:rPr>
        <w:t>30</w:t>
      </w:r>
      <w:r w:rsidRPr="00F973D8">
        <w:rPr>
          <w:rFonts w:ascii="Arial" w:hAnsi="Arial" w:cs="Arial"/>
          <w:b/>
        </w:rPr>
        <w:t>. oktober 2017</w:t>
      </w:r>
    </w:p>
    <w:p w:rsidR="002728AA" w:rsidRDefault="002728AA" w:rsidP="002728AA">
      <w:pPr>
        <w:jc w:val="center"/>
        <w:rPr>
          <w:rFonts w:ascii="Arial" w:hAnsi="Arial" w:cs="Arial"/>
          <w:b/>
          <w:i/>
        </w:rPr>
      </w:pPr>
      <w:r>
        <w:rPr>
          <w:rFonts w:ascii="Arial" w:hAnsi="Arial" w:cs="Arial"/>
          <w:b/>
          <w:color w:val="993300"/>
          <w:sz w:val="32"/>
          <w:szCs w:val="32"/>
        </w:rPr>
        <w:t xml:space="preserve">Objavljen je razpis </w:t>
      </w:r>
      <w:proofErr w:type="spellStart"/>
      <w:r>
        <w:rPr>
          <w:rFonts w:ascii="Arial" w:hAnsi="Arial" w:cs="Arial"/>
          <w:b/>
          <w:color w:val="993300"/>
          <w:sz w:val="32"/>
          <w:szCs w:val="32"/>
        </w:rPr>
        <w:t>Erasmus</w:t>
      </w:r>
      <w:proofErr w:type="spellEnd"/>
      <w:r>
        <w:rPr>
          <w:rFonts w:ascii="Arial" w:hAnsi="Arial" w:cs="Arial"/>
          <w:b/>
          <w:color w:val="993300"/>
          <w:sz w:val="32"/>
          <w:szCs w:val="32"/>
        </w:rPr>
        <w:t>+ za leto 2018</w:t>
      </w:r>
    </w:p>
    <w:p w:rsidR="001F0A79" w:rsidRPr="009F6FB0" w:rsidRDefault="001F0A79" w:rsidP="009F6FB0">
      <w:pPr>
        <w:rPr>
          <w:rFonts w:ascii="Arial" w:hAnsi="Arial" w:cs="Arial"/>
          <w:b/>
          <w:i/>
        </w:rPr>
      </w:pPr>
      <w:r w:rsidRPr="009F6FB0">
        <w:rPr>
          <w:rFonts w:ascii="Arial" w:hAnsi="Arial" w:cs="Arial"/>
          <w:b/>
          <w:i/>
        </w:rPr>
        <w:t xml:space="preserve">Evropska komisija je objavila razpis za zbiranje predlogov za </w:t>
      </w:r>
      <w:proofErr w:type="spellStart"/>
      <w:r w:rsidRPr="009F6FB0">
        <w:rPr>
          <w:rFonts w:ascii="Arial" w:hAnsi="Arial" w:cs="Arial"/>
          <w:b/>
          <w:i/>
        </w:rPr>
        <w:t>Erasmus</w:t>
      </w:r>
      <w:proofErr w:type="spellEnd"/>
      <w:r w:rsidRPr="009F6FB0">
        <w:rPr>
          <w:rFonts w:ascii="Arial" w:hAnsi="Arial" w:cs="Arial"/>
          <w:b/>
          <w:i/>
        </w:rPr>
        <w:t>+</w:t>
      </w:r>
      <w:r w:rsidR="009927AC" w:rsidRPr="009F6FB0">
        <w:rPr>
          <w:rFonts w:ascii="Arial" w:hAnsi="Arial" w:cs="Arial"/>
          <w:b/>
          <w:i/>
        </w:rPr>
        <w:t xml:space="preserve"> v letu 2018</w:t>
      </w:r>
      <w:r w:rsidRPr="009F6FB0">
        <w:rPr>
          <w:rFonts w:ascii="Arial" w:hAnsi="Arial" w:cs="Arial"/>
          <w:b/>
          <w:i/>
        </w:rPr>
        <w:t xml:space="preserve">. </w:t>
      </w:r>
      <w:r w:rsidR="009927AC" w:rsidRPr="009F6FB0">
        <w:rPr>
          <w:rFonts w:ascii="Arial" w:hAnsi="Arial" w:cs="Arial"/>
          <w:b/>
          <w:i/>
        </w:rPr>
        <w:t>Del razpisa je</w:t>
      </w:r>
      <w:r w:rsidRPr="009F6FB0">
        <w:rPr>
          <w:rFonts w:ascii="Arial" w:hAnsi="Arial" w:cs="Arial"/>
          <w:b/>
          <w:i/>
        </w:rPr>
        <w:t xml:space="preserve"> vodnik za prijavitelje </w:t>
      </w:r>
      <w:proofErr w:type="spellStart"/>
      <w:r w:rsidRPr="009F6FB0">
        <w:rPr>
          <w:rFonts w:ascii="Arial" w:hAnsi="Arial" w:cs="Arial"/>
          <w:b/>
          <w:i/>
        </w:rPr>
        <w:t>Erasmus</w:t>
      </w:r>
      <w:proofErr w:type="spellEnd"/>
      <w:r w:rsidRPr="009F6FB0">
        <w:rPr>
          <w:rFonts w:ascii="Arial" w:hAnsi="Arial" w:cs="Arial"/>
          <w:b/>
          <w:i/>
        </w:rPr>
        <w:t xml:space="preserve">+. Organizacije in ustanove, ki želijo zaprositi za finančna sredstva v okviru tega razpisa, morajo izpolnjevati pogoje za sodelovanje in financiranje, navedene v vodniku. V njem so informacije o prednostnih področjih programa </w:t>
      </w:r>
      <w:proofErr w:type="spellStart"/>
      <w:r w:rsidRPr="009F6FB0">
        <w:rPr>
          <w:rFonts w:ascii="Arial" w:hAnsi="Arial" w:cs="Arial"/>
          <w:b/>
          <w:i/>
        </w:rPr>
        <w:t>Erasmus</w:t>
      </w:r>
      <w:proofErr w:type="spellEnd"/>
      <w:r w:rsidRPr="009F6FB0">
        <w:rPr>
          <w:rFonts w:ascii="Arial" w:hAnsi="Arial" w:cs="Arial"/>
          <w:b/>
          <w:i/>
        </w:rPr>
        <w:t>+, ukrepih, ki bodo financirani,</w:t>
      </w:r>
      <w:r w:rsidR="00641DBF" w:rsidRPr="009F6FB0">
        <w:rPr>
          <w:rFonts w:ascii="Arial" w:hAnsi="Arial" w:cs="Arial"/>
          <w:b/>
          <w:i/>
        </w:rPr>
        <w:t xml:space="preserve">in </w:t>
      </w:r>
      <w:r w:rsidRPr="009F6FB0">
        <w:rPr>
          <w:rFonts w:ascii="Arial" w:hAnsi="Arial" w:cs="Arial"/>
          <w:b/>
          <w:i/>
        </w:rPr>
        <w:t xml:space="preserve"> finančnih sredstvih, ki so na voljo za posamezne ukrepe</w:t>
      </w:r>
      <w:r w:rsidR="00641DBF" w:rsidRPr="009F6FB0">
        <w:rPr>
          <w:rFonts w:ascii="Arial" w:hAnsi="Arial" w:cs="Arial"/>
          <w:b/>
          <w:i/>
        </w:rPr>
        <w:t>.</w:t>
      </w:r>
    </w:p>
    <w:p w:rsidR="009927AC" w:rsidRPr="009F6FB0" w:rsidRDefault="009927AC" w:rsidP="009F6FB0">
      <w:pPr>
        <w:rPr>
          <w:rFonts w:ascii="Arial" w:hAnsi="Arial" w:cs="Arial"/>
          <w:sz w:val="20"/>
          <w:szCs w:val="20"/>
        </w:rPr>
      </w:pPr>
      <w:r w:rsidRPr="009F6FB0">
        <w:rPr>
          <w:rFonts w:ascii="Arial" w:hAnsi="Arial" w:cs="Arial"/>
          <w:sz w:val="20"/>
          <w:szCs w:val="20"/>
        </w:rPr>
        <w:t xml:space="preserve">Glavne spremembe razpisa 2018 so: dodatne možnosti opravljanja delovne prakse, ki študentom </w:t>
      </w:r>
      <w:proofErr w:type="spellStart"/>
      <w:r w:rsidRPr="009F6FB0">
        <w:rPr>
          <w:rFonts w:ascii="Arial" w:hAnsi="Arial" w:cs="Arial"/>
          <w:sz w:val="20"/>
          <w:szCs w:val="20"/>
        </w:rPr>
        <w:t>Erasmus</w:t>
      </w:r>
      <w:proofErr w:type="spellEnd"/>
      <w:r w:rsidRPr="009F6FB0">
        <w:rPr>
          <w:rFonts w:ascii="Arial" w:hAnsi="Arial" w:cs="Arial"/>
          <w:sz w:val="20"/>
          <w:szCs w:val="20"/>
        </w:rPr>
        <w:t xml:space="preserve">+ omogočajo pridobiti digitalna znanja, pobuda </w:t>
      </w:r>
      <w:proofErr w:type="spellStart"/>
      <w:r w:rsidRPr="009F6FB0">
        <w:rPr>
          <w:rFonts w:ascii="Arial" w:hAnsi="Arial" w:cs="Arial"/>
          <w:sz w:val="20"/>
          <w:szCs w:val="20"/>
        </w:rPr>
        <w:t>ErasmusPro</w:t>
      </w:r>
      <w:proofErr w:type="spellEnd"/>
      <w:r w:rsidRPr="009F6FB0">
        <w:rPr>
          <w:rFonts w:ascii="Arial" w:hAnsi="Arial" w:cs="Arial"/>
          <w:sz w:val="20"/>
          <w:szCs w:val="20"/>
        </w:rPr>
        <w:t>, ki bo dijakom poklicnega izobraževanja omogočila daljše izmenjave za vajeništvo, nova oblika partnerstev za izmenjavo med šolami, ki bodo olajšala projekte sodelovanja med šolami, ponovna vključitev ukrepa »koalicije sektorskih spretnosti« in izpopolnjena pravila financiranja za večino ukrepov.</w:t>
      </w:r>
    </w:p>
    <w:p w:rsidR="009927AC" w:rsidRPr="009F6FB0" w:rsidRDefault="009927AC" w:rsidP="009F6FB0">
      <w:pPr>
        <w:rPr>
          <w:rFonts w:ascii="Arial" w:hAnsi="Arial" w:cs="Arial"/>
          <w:sz w:val="20"/>
          <w:szCs w:val="20"/>
        </w:rPr>
      </w:pPr>
      <w:r w:rsidRPr="009F6FB0">
        <w:rPr>
          <w:rFonts w:ascii="Arial" w:hAnsi="Arial" w:cs="Arial"/>
          <w:sz w:val="20"/>
          <w:szCs w:val="20"/>
        </w:rPr>
        <w:t>Poudarek vodnika 2018 je tako kot v letu 2017 na podpori projektom v zvezi s socialnim vključevanjem (predvsem beguncev in migrantov) ter preprečevanjem radikalizacije.</w:t>
      </w:r>
    </w:p>
    <w:p w:rsidR="009927AC" w:rsidRPr="009F6FB0" w:rsidRDefault="009F6FB0" w:rsidP="009F6FB0">
      <w:pPr>
        <w:rPr>
          <w:rFonts w:ascii="Arial" w:hAnsi="Arial" w:cs="Arial"/>
          <w:b/>
          <w:sz w:val="20"/>
          <w:szCs w:val="20"/>
        </w:rPr>
      </w:pPr>
      <w:r>
        <w:rPr>
          <w:rFonts w:ascii="Arial" w:hAnsi="Arial" w:cs="Arial"/>
          <w:b/>
          <w:sz w:val="20"/>
          <w:szCs w:val="20"/>
        </w:rPr>
        <w:t>Tabela 1: P</w:t>
      </w:r>
      <w:r w:rsidR="009927AC" w:rsidRPr="009F6FB0">
        <w:rPr>
          <w:rFonts w:ascii="Arial" w:hAnsi="Arial" w:cs="Arial"/>
          <w:b/>
          <w:sz w:val="20"/>
          <w:szCs w:val="20"/>
        </w:rPr>
        <w:t>roračun po področjih</w:t>
      </w:r>
    </w:p>
    <w:tbl>
      <w:tblPr>
        <w:tblStyle w:val="Tabela-mrea"/>
        <w:tblW w:w="0" w:type="auto"/>
        <w:tblLook w:val="04A0"/>
      </w:tblPr>
      <w:tblGrid>
        <w:gridCol w:w="4606"/>
        <w:gridCol w:w="4606"/>
      </w:tblGrid>
      <w:tr w:rsidR="009927AC" w:rsidRPr="009F6FB0" w:rsidTr="009927AC">
        <w:tc>
          <w:tcPr>
            <w:tcW w:w="4606" w:type="dxa"/>
          </w:tcPr>
          <w:p w:rsidR="009927AC" w:rsidRPr="009F6FB0" w:rsidRDefault="009927AC" w:rsidP="009F6FB0">
            <w:pPr>
              <w:rPr>
                <w:rFonts w:ascii="Arial" w:hAnsi="Arial" w:cs="Arial"/>
                <w:sz w:val="20"/>
                <w:szCs w:val="20"/>
              </w:rPr>
            </w:pPr>
            <w:r w:rsidRPr="009F6FB0">
              <w:rPr>
                <w:rFonts w:ascii="Arial" w:hAnsi="Arial" w:cs="Arial"/>
                <w:sz w:val="20"/>
                <w:szCs w:val="20"/>
              </w:rPr>
              <w:t>Izobraževanje in usposabljanje</w:t>
            </w:r>
          </w:p>
        </w:t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2253,2 milijona evrov</w:t>
            </w:r>
          </w:p>
        </w:tc>
      </w:tr>
      <w:tr w:rsidR="009927AC" w:rsidRPr="009F6FB0" w:rsidTr="009927A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Mladina</w:t>
            </w:r>
          </w:p>
        </w:t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188,2 milijona evrov</w:t>
            </w:r>
          </w:p>
        </w:tc>
      </w:tr>
      <w:tr w:rsidR="009927AC" w:rsidRPr="009F6FB0" w:rsidTr="009927A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 xml:space="preserve">Jean </w:t>
            </w:r>
            <w:proofErr w:type="spellStart"/>
            <w:r w:rsidRPr="009F6FB0">
              <w:rPr>
                <w:rFonts w:ascii="Arial" w:hAnsi="Arial" w:cs="Arial"/>
                <w:sz w:val="20"/>
                <w:szCs w:val="20"/>
              </w:rPr>
              <w:t>Monnet</w:t>
            </w:r>
            <w:proofErr w:type="spellEnd"/>
          </w:p>
        </w:t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12,1 milijona evrov</w:t>
            </w:r>
          </w:p>
        </w:tc>
      </w:tr>
      <w:tr w:rsidR="009927AC" w:rsidRPr="009F6FB0" w:rsidTr="009927A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Šport</w:t>
            </w:r>
          </w:p>
        </w:tc>
        <w:tc>
          <w:tcPr>
            <w:tcW w:w="4606" w:type="dxa"/>
          </w:tcPr>
          <w:p w:rsidR="009927AC" w:rsidRPr="009F6FB0" w:rsidRDefault="009F6FB0" w:rsidP="009F6FB0">
            <w:pPr>
              <w:rPr>
                <w:rFonts w:ascii="Arial" w:hAnsi="Arial" w:cs="Arial"/>
                <w:sz w:val="20"/>
                <w:szCs w:val="20"/>
              </w:rPr>
            </w:pPr>
            <w:r w:rsidRPr="009F6FB0">
              <w:rPr>
                <w:rFonts w:ascii="Arial" w:hAnsi="Arial" w:cs="Arial"/>
                <w:sz w:val="20"/>
                <w:szCs w:val="20"/>
              </w:rPr>
              <w:t>37,4 milijona evrov</w:t>
            </w:r>
          </w:p>
        </w:tc>
      </w:tr>
    </w:tbl>
    <w:p w:rsidR="009927AC" w:rsidRPr="009F6FB0" w:rsidRDefault="009F6FB0" w:rsidP="009F6FB0">
      <w:pPr>
        <w:rPr>
          <w:rFonts w:ascii="Arial" w:hAnsi="Arial" w:cs="Arial"/>
          <w:sz w:val="20"/>
          <w:szCs w:val="20"/>
        </w:rPr>
      </w:pPr>
      <w:r w:rsidRPr="009F6FB0">
        <w:rPr>
          <w:rFonts w:ascii="Arial" w:hAnsi="Arial" w:cs="Arial"/>
          <w:sz w:val="20"/>
          <w:szCs w:val="20"/>
        </w:rPr>
        <w:t>Vir: Razpis</w:t>
      </w:r>
    </w:p>
    <w:p w:rsidR="009F6FB0" w:rsidRPr="009F6FB0" w:rsidRDefault="009F6FB0" w:rsidP="009F6FB0">
      <w:pPr>
        <w:rPr>
          <w:rFonts w:ascii="Arial" w:hAnsi="Arial" w:cs="Arial"/>
          <w:b/>
          <w:sz w:val="20"/>
          <w:szCs w:val="20"/>
        </w:rPr>
      </w:pPr>
      <w:r w:rsidRPr="009F6FB0">
        <w:rPr>
          <w:rFonts w:ascii="Arial" w:hAnsi="Arial" w:cs="Arial"/>
          <w:b/>
          <w:sz w:val="20"/>
          <w:szCs w:val="20"/>
        </w:rPr>
        <w:t>Koristne informacije:</w:t>
      </w:r>
    </w:p>
    <w:p w:rsidR="009F6FB0" w:rsidRPr="009F6FB0" w:rsidRDefault="009F6FB0" w:rsidP="009F6FB0">
      <w:pPr>
        <w:pStyle w:val="Odstavekseznama"/>
        <w:numPr>
          <w:ilvl w:val="0"/>
          <w:numId w:val="3"/>
        </w:numPr>
        <w:rPr>
          <w:rFonts w:ascii="Arial" w:hAnsi="Arial" w:cs="Arial"/>
          <w:sz w:val="20"/>
          <w:szCs w:val="20"/>
        </w:rPr>
      </w:pPr>
      <w:r w:rsidRPr="009F6FB0">
        <w:rPr>
          <w:rFonts w:ascii="Arial" w:hAnsi="Arial" w:cs="Arial"/>
          <w:sz w:val="20"/>
          <w:szCs w:val="20"/>
        </w:rPr>
        <w:t>Razpis:</w:t>
      </w:r>
    </w:p>
    <w:p w:rsidR="009F6FB0" w:rsidRPr="009F6FB0" w:rsidRDefault="007B5229" w:rsidP="009F6FB0">
      <w:pPr>
        <w:pStyle w:val="Odstavekseznama"/>
        <w:numPr>
          <w:ilvl w:val="0"/>
          <w:numId w:val="3"/>
        </w:numPr>
        <w:rPr>
          <w:rFonts w:ascii="Arial" w:hAnsi="Arial" w:cs="Arial"/>
          <w:sz w:val="20"/>
          <w:szCs w:val="20"/>
        </w:rPr>
      </w:pPr>
      <w:hyperlink r:id="rId6" w:history="1">
        <w:r w:rsidR="009F6FB0" w:rsidRPr="009F6FB0">
          <w:rPr>
            <w:rStyle w:val="Hiperpovezava"/>
            <w:rFonts w:ascii="Arial" w:hAnsi="Arial" w:cs="Arial"/>
            <w:sz w:val="20"/>
            <w:szCs w:val="20"/>
          </w:rPr>
          <w:t>http://eur-lex.europa.eu/legal-content/SL/TXT/HTML/?uri=CELEX:C2017/361/04&amp;from=EN</w:t>
        </w:r>
      </w:hyperlink>
    </w:p>
    <w:p w:rsidR="009F6FB0" w:rsidRPr="009F6FB0" w:rsidRDefault="009F6FB0" w:rsidP="009F6FB0">
      <w:pPr>
        <w:pStyle w:val="Odstavekseznama"/>
        <w:numPr>
          <w:ilvl w:val="0"/>
          <w:numId w:val="3"/>
        </w:numPr>
        <w:rPr>
          <w:rFonts w:ascii="Arial" w:hAnsi="Arial" w:cs="Arial"/>
          <w:sz w:val="20"/>
          <w:szCs w:val="20"/>
        </w:rPr>
      </w:pPr>
      <w:r w:rsidRPr="009F6FB0">
        <w:rPr>
          <w:rFonts w:ascii="Arial" w:hAnsi="Arial" w:cs="Arial"/>
          <w:sz w:val="20"/>
          <w:szCs w:val="20"/>
        </w:rPr>
        <w:t>Vodnik:</w:t>
      </w:r>
    </w:p>
    <w:p w:rsidR="009F6FB0" w:rsidRPr="009F6FB0" w:rsidRDefault="007B5229" w:rsidP="009F6FB0">
      <w:pPr>
        <w:pStyle w:val="Odstavekseznama"/>
        <w:numPr>
          <w:ilvl w:val="0"/>
          <w:numId w:val="3"/>
        </w:numPr>
        <w:rPr>
          <w:rFonts w:ascii="Arial" w:hAnsi="Arial" w:cs="Arial"/>
          <w:sz w:val="20"/>
          <w:szCs w:val="20"/>
        </w:rPr>
      </w:pPr>
      <w:hyperlink r:id="rId7" w:history="1">
        <w:r w:rsidR="009F6FB0" w:rsidRPr="009F6FB0">
          <w:rPr>
            <w:rStyle w:val="Hiperpovezava"/>
            <w:rFonts w:ascii="Arial" w:hAnsi="Arial" w:cs="Arial"/>
            <w:sz w:val="20"/>
            <w:szCs w:val="20"/>
          </w:rPr>
          <w:t>http://ec.europa.eu/programmes/erasmus-plus/resources/programme-guide_sl</w:t>
        </w:r>
      </w:hyperlink>
    </w:p>
    <w:p w:rsidR="009F6FB0" w:rsidRPr="009F6FB0" w:rsidRDefault="009F6FB0" w:rsidP="009F6FB0">
      <w:pPr>
        <w:rPr>
          <w:rFonts w:ascii="Arial" w:hAnsi="Arial" w:cs="Arial"/>
          <w:sz w:val="20"/>
          <w:szCs w:val="20"/>
        </w:rPr>
      </w:pPr>
      <w:r w:rsidRPr="009F6FB0">
        <w:rPr>
          <w:rFonts w:ascii="Arial" w:hAnsi="Arial" w:cs="Arial"/>
          <w:sz w:val="20"/>
          <w:szCs w:val="20"/>
        </w:rPr>
        <w:t>Pripravila:</w:t>
      </w:r>
    </w:p>
    <w:p w:rsidR="009F6FB0" w:rsidRPr="009F6FB0" w:rsidRDefault="009F6FB0" w:rsidP="009F6FB0">
      <w:pPr>
        <w:rPr>
          <w:rFonts w:ascii="Arial" w:hAnsi="Arial" w:cs="Arial"/>
          <w:sz w:val="20"/>
          <w:szCs w:val="20"/>
        </w:rPr>
      </w:pPr>
      <w:r w:rsidRPr="009F6FB0">
        <w:rPr>
          <w:rFonts w:ascii="Arial" w:hAnsi="Arial" w:cs="Arial"/>
          <w:sz w:val="20"/>
          <w:szCs w:val="20"/>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3CC8"/>
    <w:multiLevelType w:val="multilevel"/>
    <w:tmpl w:val="0F8C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2918DD"/>
    <w:multiLevelType w:val="multilevel"/>
    <w:tmpl w:val="26D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B225CF"/>
    <w:multiLevelType w:val="hybridMultilevel"/>
    <w:tmpl w:val="4F88A4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A79"/>
    <w:rsid w:val="001F0A79"/>
    <w:rsid w:val="002728AA"/>
    <w:rsid w:val="004D4CAD"/>
    <w:rsid w:val="00641DBF"/>
    <w:rsid w:val="007B5229"/>
    <w:rsid w:val="009927AC"/>
    <w:rsid w:val="009F6FB0"/>
    <w:rsid w:val="00B459D4"/>
    <w:rsid w:val="00E04D0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2728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F0A79"/>
    <w:rPr>
      <w:color w:val="0000FF"/>
      <w:u w:val="single"/>
    </w:rPr>
  </w:style>
  <w:style w:type="paragraph" w:styleId="Navadensplet">
    <w:name w:val="Normal (Web)"/>
    <w:basedOn w:val="Navaden"/>
    <w:uiPriority w:val="99"/>
    <w:unhideWhenUsed/>
    <w:rsid w:val="001F0A79"/>
    <w:pPr>
      <w:spacing w:before="100" w:beforeAutospacing="1"/>
      <w:jc w:val="left"/>
    </w:pPr>
    <w:rPr>
      <w:rFonts w:ascii="Times New Roman" w:eastAsia="Times New Roman" w:hAnsi="Times New Roman" w:cs="Times New Roman"/>
      <w:sz w:val="24"/>
      <w:szCs w:val="24"/>
      <w:lang w:eastAsia="sl-SI"/>
    </w:rPr>
  </w:style>
  <w:style w:type="table" w:styleId="Tabela-mrea">
    <w:name w:val="Table Grid"/>
    <w:basedOn w:val="Navadnatabela"/>
    <w:uiPriority w:val="59"/>
    <w:rsid w:val="009927A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9F6FB0"/>
    <w:pPr>
      <w:ind w:left="720"/>
      <w:contextualSpacing/>
    </w:pPr>
  </w:style>
  <w:style w:type="character" w:customStyle="1" w:styleId="Naslov2Znak">
    <w:name w:val="Naslov 2 Znak"/>
    <w:basedOn w:val="Privzetapisavaodstavka"/>
    <w:link w:val="Naslov2"/>
    <w:uiPriority w:val="9"/>
    <w:semiHidden/>
    <w:rsid w:val="002728AA"/>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2728AA"/>
    <w:pPr>
      <w:spacing w:after="0"/>
    </w:pPr>
  </w:style>
  <w:style w:type="paragraph" w:styleId="Besedilooblaka">
    <w:name w:val="Balloon Text"/>
    <w:basedOn w:val="Navaden"/>
    <w:link w:val="BesedilooblakaZnak"/>
    <w:uiPriority w:val="99"/>
    <w:semiHidden/>
    <w:unhideWhenUsed/>
    <w:rsid w:val="002728AA"/>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2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6527820">
      <w:bodyDiv w:val="1"/>
      <w:marLeft w:val="0"/>
      <w:marRight w:val="0"/>
      <w:marTop w:val="0"/>
      <w:marBottom w:val="0"/>
      <w:divBdr>
        <w:top w:val="none" w:sz="0" w:space="0" w:color="auto"/>
        <w:left w:val="none" w:sz="0" w:space="0" w:color="auto"/>
        <w:bottom w:val="none" w:sz="0" w:space="0" w:color="auto"/>
        <w:right w:val="none" w:sz="0" w:space="0" w:color="auto"/>
      </w:divBdr>
    </w:div>
    <w:div w:id="1585409131">
      <w:bodyDiv w:val="1"/>
      <w:marLeft w:val="0"/>
      <w:marRight w:val="0"/>
      <w:marTop w:val="0"/>
      <w:marBottom w:val="0"/>
      <w:divBdr>
        <w:top w:val="none" w:sz="0" w:space="0" w:color="auto"/>
        <w:left w:val="none" w:sz="0" w:space="0" w:color="auto"/>
        <w:bottom w:val="none" w:sz="0" w:space="0" w:color="auto"/>
        <w:right w:val="none" w:sz="0" w:space="0" w:color="auto"/>
      </w:divBdr>
    </w:div>
    <w:div w:id="18073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programmes/erasmus-plus/resources/programme-guid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SL/TXT/HTML/?uri=CELEX:C2017/361/04&amp;from=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272</Words>
  <Characters>1556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2017-10-25T16:35:00Z</dcterms:created>
  <dcterms:modified xsi:type="dcterms:W3CDTF">2017-10-25T17:13:00Z</dcterms:modified>
</cp:coreProperties>
</file>