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2D" w:rsidRPr="00F973D8" w:rsidRDefault="00B2532D" w:rsidP="00B2532D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32D" w:rsidRPr="00F973D8" w:rsidRDefault="00B2532D" w:rsidP="00B2532D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B2532D" w:rsidRPr="00F973D8" w:rsidRDefault="00B2532D" w:rsidP="00B2532D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2532D" w:rsidRDefault="00B2532D" w:rsidP="00B2532D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B2532D" w:rsidRPr="002414B9" w:rsidRDefault="00B2532D" w:rsidP="00B2532D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 w:rsidRPr="002414B9">
        <w:rPr>
          <w:rFonts w:ascii="Arial" w:hAnsi="Arial" w:cs="Arial"/>
          <w:b/>
          <w:lang w:val="sl-SI"/>
        </w:rPr>
        <w:t>Občasna informacija članom 157 – 2017</w:t>
      </w:r>
    </w:p>
    <w:p w:rsidR="00B2532D" w:rsidRDefault="00B2532D" w:rsidP="00B2532D">
      <w:pPr>
        <w:pStyle w:val="Brezrazmikov"/>
        <w:jc w:val="center"/>
        <w:rPr>
          <w:rFonts w:ascii="Arial" w:hAnsi="Arial" w:cs="Arial"/>
          <w:b/>
        </w:rPr>
      </w:pPr>
    </w:p>
    <w:p w:rsidR="00B2532D" w:rsidRPr="00F973D8" w:rsidRDefault="00B2532D" w:rsidP="00B2532D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Pr="00F973D8">
        <w:rPr>
          <w:rFonts w:ascii="Arial" w:hAnsi="Arial" w:cs="Arial"/>
          <w:b/>
        </w:rPr>
        <w:t>. oktober 2017</w:t>
      </w:r>
    </w:p>
    <w:p w:rsidR="00B2532D" w:rsidRPr="002414B9" w:rsidRDefault="00B2532D" w:rsidP="00B2532D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 w:rsidRPr="002414B9">
        <w:rPr>
          <w:rFonts w:ascii="Arial" w:hAnsi="Arial" w:cs="Arial"/>
          <w:b/>
          <w:color w:val="993300"/>
          <w:sz w:val="32"/>
          <w:szCs w:val="32"/>
          <w:lang w:val="sl-SI"/>
        </w:rPr>
        <w:t>Kratka predstavitev poročila o modernizaciji visokega šolstva v Evropi</w:t>
      </w:r>
    </w:p>
    <w:p w:rsidR="00B2532D" w:rsidRDefault="00B2532D" w:rsidP="004D5C3E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A1761E" w:rsidRPr="004D5C3E" w:rsidRDefault="00A1761E" w:rsidP="004D5C3E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4D5C3E">
        <w:rPr>
          <w:rFonts w:ascii="Arial" w:hAnsi="Arial" w:cs="Arial"/>
          <w:b/>
          <w:i/>
          <w:sz w:val="22"/>
          <w:szCs w:val="22"/>
          <w:lang w:val="sl-SI"/>
        </w:rPr>
        <w:t xml:space="preserve">Evropska mreža za izmenjavo podatkov o izobraževanju </w:t>
      </w:r>
      <w:proofErr w:type="spellStart"/>
      <w:r w:rsidRPr="004D5C3E">
        <w:rPr>
          <w:rFonts w:ascii="Arial" w:hAnsi="Arial" w:cs="Arial"/>
          <w:b/>
          <w:i/>
          <w:sz w:val="22"/>
          <w:szCs w:val="22"/>
          <w:lang w:val="sl-SI"/>
        </w:rPr>
        <w:t>Eurydice</w:t>
      </w:r>
      <w:proofErr w:type="spellEnd"/>
      <w:r w:rsidRPr="004D5C3E">
        <w:rPr>
          <w:rFonts w:ascii="Arial" w:hAnsi="Arial" w:cs="Arial"/>
          <w:b/>
          <w:i/>
          <w:sz w:val="22"/>
          <w:szCs w:val="22"/>
          <w:lang w:val="sl-SI"/>
        </w:rPr>
        <w:t xml:space="preserve"> je objavila kratko predstavitev poročila o modernizaciji visokega šolstva v Evropi s poudarkom na akademskem osebju za leto 2017. Publikacija se osredotoča na nekatere ključne ugotovitve poročila o modernizaciji visokega šolstva v Evropi iz junija 2017, kot so načrtovanje politike človeških virov, akademske kariere, delovni pogoji in poučevanje. V sklepnem delu izpostavlja tri ključne izzive za oblikovanje politik: ustvarjanje enakih pogojev za akademske kariere, uravnovešanje institucionalne avtonomije in vladnega nadzora ter izboljšanje zbiranja informacij o akademskem osebju.</w:t>
      </w:r>
    </w:p>
    <w:p w:rsidR="00A1761E" w:rsidRPr="004D5C3E" w:rsidRDefault="00A1761E" w:rsidP="004D5C3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0059D" w:rsidRPr="004D5C3E" w:rsidRDefault="00A1761E" w:rsidP="004D5C3E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D5C3E">
        <w:rPr>
          <w:rFonts w:ascii="Arial" w:hAnsi="Arial" w:cs="Arial"/>
          <w:sz w:val="20"/>
          <w:szCs w:val="20"/>
          <w:lang w:val="sl-SI"/>
        </w:rPr>
        <w:t xml:space="preserve">Na splošno so visokošolske organizacije odgovorne za politiko človeških virov, navajajo avtorji poročila. Ugotavljajo tudi, da veliko </w:t>
      </w:r>
      <w:r w:rsidR="0000059D" w:rsidRPr="004D5C3E">
        <w:rPr>
          <w:rFonts w:ascii="Arial" w:hAnsi="Arial" w:cs="Arial"/>
          <w:sz w:val="20"/>
          <w:szCs w:val="20"/>
          <w:lang w:val="sl-SI"/>
        </w:rPr>
        <w:t>držav</w:t>
      </w:r>
      <w:r w:rsidRPr="004D5C3E">
        <w:rPr>
          <w:rFonts w:ascii="Arial" w:hAnsi="Arial" w:cs="Arial"/>
          <w:sz w:val="20"/>
          <w:szCs w:val="20"/>
          <w:lang w:val="sl-SI"/>
        </w:rPr>
        <w:t xml:space="preserve"> </w:t>
      </w:r>
      <w:r w:rsidR="0000059D" w:rsidRPr="004D5C3E">
        <w:rPr>
          <w:rFonts w:ascii="Arial" w:hAnsi="Arial" w:cs="Arial"/>
          <w:sz w:val="20"/>
          <w:szCs w:val="20"/>
          <w:lang w:val="sl-SI"/>
        </w:rPr>
        <w:t xml:space="preserve">na visoki ravni </w:t>
      </w:r>
      <w:r w:rsidRPr="004D5C3E">
        <w:rPr>
          <w:rFonts w:ascii="Arial" w:hAnsi="Arial" w:cs="Arial"/>
          <w:sz w:val="20"/>
          <w:szCs w:val="20"/>
          <w:lang w:val="sl-SI"/>
        </w:rPr>
        <w:t xml:space="preserve">nima srednjeročnega in dolgoročnega načrtovanja </w:t>
      </w:r>
      <w:r w:rsidR="0000059D" w:rsidRPr="004D5C3E">
        <w:rPr>
          <w:rFonts w:ascii="Arial" w:hAnsi="Arial" w:cs="Arial"/>
          <w:sz w:val="20"/>
          <w:szCs w:val="20"/>
          <w:lang w:val="sl-SI"/>
        </w:rPr>
        <w:t>potreb po osebju. Med temi državami je tudi Slovenija.</w:t>
      </w:r>
    </w:p>
    <w:p w:rsidR="0000059D" w:rsidRPr="004D5C3E" w:rsidRDefault="0000059D" w:rsidP="004D5C3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1761E" w:rsidRPr="004D5C3E" w:rsidRDefault="00093983" w:rsidP="004D5C3E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D5C3E">
        <w:rPr>
          <w:rFonts w:ascii="Arial" w:hAnsi="Arial" w:cs="Arial"/>
          <w:sz w:val="20"/>
          <w:szCs w:val="20"/>
          <w:lang w:val="sl-SI"/>
        </w:rPr>
        <w:t xml:space="preserve">Države z visokim deležem starejših profesorjev bodo najbrž imele težave pri prenovi akademskega kadra. </w:t>
      </w:r>
      <w:r w:rsidR="0000059D" w:rsidRPr="004D5C3E">
        <w:rPr>
          <w:rFonts w:ascii="Arial" w:hAnsi="Arial" w:cs="Arial"/>
          <w:sz w:val="20"/>
          <w:szCs w:val="20"/>
          <w:lang w:val="sl-SI"/>
        </w:rPr>
        <w:t xml:space="preserve"> </w:t>
      </w:r>
    </w:p>
    <w:p w:rsidR="00093983" w:rsidRPr="004D5C3E" w:rsidRDefault="00093983" w:rsidP="004D5C3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93983" w:rsidRPr="004D5C3E" w:rsidRDefault="00093983" w:rsidP="004D5C3E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4D5C3E">
        <w:rPr>
          <w:rFonts w:ascii="Arial" w:hAnsi="Arial" w:cs="Arial"/>
          <w:b/>
          <w:sz w:val="20"/>
          <w:szCs w:val="20"/>
          <w:lang w:val="sl-SI"/>
        </w:rPr>
        <w:t>Tabela 1: Starostna struktura akademskega kadra po izbranih državah v odstotkih</w:t>
      </w:r>
    </w:p>
    <w:p w:rsidR="00093983" w:rsidRPr="004D5C3E" w:rsidRDefault="00093983" w:rsidP="004D5C3E">
      <w:pPr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-mrea"/>
        <w:tblW w:w="0" w:type="auto"/>
        <w:tblLook w:val="04A0"/>
      </w:tblPr>
      <w:tblGrid>
        <w:gridCol w:w="517"/>
        <w:gridCol w:w="606"/>
        <w:gridCol w:w="857"/>
        <w:gridCol w:w="933"/>
        <w:gridCol w:w="917"/>
        <w:gridCol w:w="702"/>
        <w:gridCol w:w="1170"/>
        <w:gridCol w:w="877"/>
        <w:gridCol w:w="1007"/>
        <w:gridCol w:w="787"/>
      </w:tblGrid>
      <w:tr w:rsidR="00662C72" w:rsidRPr="004D5C3E" w:rsidTr="00662C72">
        <w:tc>
          <w:tcPr>
            <w:tcW w:w="51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%</w:t>
            </w:r>
          </w:p>
        </w:tc>
        <w:tc>
          <w:tcPr>
            <w:tcW w:w="600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EU</w:t>
            </w:r>
          </w:p>
        </w:tc>
        <w:tc>
          <w:tcPr>
            <w:tcW w:w="853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Danska</w:t>
            </w:r>
          </w:p>
        </w:tc>
        <w:tc>
          <w:tcPr>
            <w:tcW w:w="933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Nemčija</w:t>
            </w:r>
          </w:p>
        </w:tc>
        <w:tc>
          <w:tcPr>
            <w:tcW w:w="91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Hrvaška</w:t>
            </w:r>
          </w:p>
        </w:tc>
        <w:tc>
          <w:tcPr>
            <w:tcW w:w="702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Italija</w:t>
            </w:r>
          </w:p>
        </w:tc>
        <w:tc>
          <w:tcPr>
            <w:tcW w:w="1170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Madžarska</w:t>
            </w:r>
          </w:p>
        </w:tc>
        <w:tc>
          <w:tcPr>
            <w:tcW w:w="877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Avstrija</w:t>
            </w:r>
          </w:p>
        </w:tc>
        <w:tc>
          <w:tcPr>
            <w:tcW w:w="100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Slovenija</w:t>
            </w:r>
          </w:p>
        </w:tc>
        <w:tc>
          <w:tcPr>
            <w:tcW w:w="766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Finska</w:t>
            </w:r>
          </w:p>
        </w:tc>
      </w:tr>
      <w:tr w:rsidR="00662C72" w:rsidRPr="004D5C3E" w:rsidTr="00662C72">
        <w:tc>
          <w:tcPr>
            <w:tcW w:w="51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Do 35 let</w:t>
            </w:r>
          </w:p>
        </w:tc>
        <w:tc>
          <w:tcPr>
            <w:tcW w:w="600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23,5</w:t>
            </w:r>
          </w:p>
        </w:tc>
        <w:tc>
          <w:tcPr>
            <w:tcW w:w="853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17,7</w:t>
            </w:r>
          </w:p>
        </w:tc>
        <w:tc>
          <w:tcPr>
            <w:tcW w:w="933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43,6</w:t>
            </w:r>
          </w:p>
        </w:tc>
        <w:tc>
          <w:tcPr>
            <w:tcW w:w="914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23,5</w:t>
            </w:r>
          </w:p>
        </w:tc>
        <w:tc>
          <w:tcPr>
            <w:tcW w:w="702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4,6</w:t>
            </w:r>
          </w:p>
        </w:tc>
        <w:tc>
          <w:tcPr>
            <w:tcW w:w="1170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14,4</w:t>
            </w:r>
          </w:p>
        </w:tc>
        <w:tc>
          <w:tcPr>
            <w:tcW w:w="877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20,1</w:t>
            </w:r>
          </w:p>
        </w:tc>
        <w:tc>
          <w:tcPr>
            <w:tcW w:w="100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b/>
                <w:sz w:val="20"/>
                <w:szCs w:val="20"/>
                <w:lang w:val="sl-SI"/>
              </w:rPr>
              <w:t>3,6</w:t>
            </w:r>
          </w:p>
        </w:tc>
        <w:tc>
          <w:tcPr>
            <w:tcW w:w="766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13,8</w:t>
            </w:r>
          </w:p>
        </w:tc>
      </w:tr>
      <w:tr w:rsidR="00662C72" w:rsidRPr="004D5C3E" w:rsidTr="00662C72">
        <w:tc>
          <w:tcPr>
            <w:tcW w:w="51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35-49 let</w:t>
            </w:r>
          </w:p>
        </w:tc>
        <w:tc>
          <w:tcPr>
            <w:tcW w:w="600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40,3</w:t>
            </w:r>
          </w:p>
        </w:tc>
        <w:tc>
          <w:tcPr>
            <w:tcW w:w="853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40,8</w:t>
            </w:r>
          </w:p>
        </w:tc>
        <w:tc>
          <w:tcPr>
            <w:tcW w:w="933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31,5</w:t>
            </w:r>
          </w:p>
        </w:tc>
        <w:tc>
          <w:tcPr>
            <w:tcW w:w="914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43,2</w:t>
            </w:r>
          </w:p>
        </w:tc>
        <w:tc>
          <w:tcPr>
            <w:tcW w:w="702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39,6</w:t>
            </w:r>
          </w:p>
        </w:tc>
        <w:tc>
          <w:tcPr>
            <w:tcW w:w="1170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44,1</w:t>
            </w:r>
          </w:p>
        </w:tc>
        <w:tc>
          <w:tcPr>
            <w:tcW w:w="877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43,0</w:t>
            </w:r>
          </w:p>
        </w:tc>
        <w:tc>
          <w:tcPr>
            <w:tcW w:w="100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b/>
                <w:sz w:val="20"/>
                <w:szCs w:val="20"/>
                <w:lang w:val="sl-SI"/>
              </w:rPr>
              <w:t>44,6</w:t>
            </w:r>
          </w:p>
        </w:tc>
        <w:tc>
          <w:tcPr>
            <w:tcW w:w="766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37,3</w:t>
            </w:r>
          </w:p>
        </w:tc>
      </w:tr>
      <w:tr w:rsidR="00662C72" w:rsidRPr="004D5C3E" w:rsidTr="00662C72">
        <w:tc>
          <w:tcPr>
            <w:tcW w:w="51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50-64 let</w:t>
            </w:r>
          </w:p>
        </w:tc>
        <w:tc>
          <w:tcPr>
            <w:tcW w:w="600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31,7</w:t>
            </w:r>
          </w:p>
        </w:tc>
        <w:tc>
          <w:tcPr>
            <w:tcW w:w="853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33,3</w:t>
            </w:r>
          </w:p>
        </w:tc>
        <w:tc>
          <w:tcPr>
            <w:tcW w:w="933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21,5</w:t>
            </w:r>
          </w:p>
        </w:tc>
        <w:tc>
          <w:tcPr>
            <w:tcW w:w="914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29,1</w:t>
            </w:r>
          </w:p>
        </w:tc>
        <w:tc>
          <w:tcPr>
            <w:tcW w:w="702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43,0</w:t>
            </w:r>
          </w:p>
        </w:tc>
        <w:tc>
          <w:tcPr>
            <w:tcW w:w="1170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33,1</w:t>
            </w:r>
          </w:p>
        </w:tc>
        <w:tc>
          <w:tcPr>
            <w:tcW w:w="877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33,7</w:t>
            </w:r>
          </w:p>
        </w:tc>
        <w:tc>
          <w:tcPr>
            <w:tcW w:w="100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b/>
                <w:sz w:val="20"/>
                <w:szCs w:val="20"/>
                <w:lang w:val="sl-SI"/>
              </w:rPr>
              <w:t>42,8</w:t>
            </w:r>
          </w:p>
        </w:tc>
        <w:tc>
          <w:tcPr>
            <w:tcW w:w="766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46,3</w:t>
            </w:r>
          </w:p>
        </w:tc>
      </w:tr>
      <w:tr w:rsidR="00662C72" w:rsidRPr="004D5C3E" w:rsidTr="00662C72">
        <w:tc>
          <w:tcPr>
            <w:tcW w:w="51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4D5C3E">
              <w:rPr>
                <w:rFonts w:ascii="Arial" w:hAnsi="Arial" w:cs="Arial"/>
                <w:b/>
                <w:sz w:val="18"/>
                <w:szCs w:val="18"/>
                <w:lang w:val="sl-SI"/>
              </w:rPr>
              <w:t>65 in več let</w:t>
            </w:r>
          </w:p>
        </w:tc>
        <w:tc>
          <w:tcPr>
            <w:tcW w:w="600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4,5</w:t>
            </w:r>
          </w:p>
        </w:tc>
        <w:tc>
          <w:tcPr>
            <w:tcW w:w="853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8,2</w:t>
            </w:r>
          </w:p>
        </w:tc>
        <w:tc>
          <w:tcPr>
            <w:tcW w:w="933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3,5</w:t>
            </w:r>
          </w:p>
        </w:tc>
        <w:tc>
          <w:tcPr>
            <w:tcW w:w="914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4,2</w:t>
            </w:r>
          </w:p>
        </w:tc>
        <w:tc>
          <w:tcPr>
            <w:tcW w:w="702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12,8</w:t>
            </w:r>
          </w:p>
        </w:tc>
        <w:tc>
          <w:tcPr>
            <w:tcW w:w="1170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8,4</w:t>
            </w:r>
          </w:p>
        </w:tc>
        <w:tc>
          <w:tcPr>
            <w:tcW w:w="877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3,2</w:t>
            </w:r>
          </w:p>
        </w:tc>
        <w:tc>
          <w:tcPr>
            <w:tcW w:w="1004" w:type="dxa"/>
          </w:tcPr>
          <w:p w:rsidR="00662C72" w:rsidRPr="004D5C3E" w:rsidRDefault="00662C72" w:rsidP="004D5C3E">
            <w:pPr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b/>
                <w:sz w:val="20"/>
                <w:szCs w:val="20"/>
                <w:lang w:val="sl-SI"/>
              </w:rPr>
              <w:t>8,9</w:t>
            </w:r>
          </w:p>
        </w:tc>
        <w:tc>
          <w:tcPr>
            <w:tcW w:w="766" w:type="dxa"/>
          </w:tcPr>
          <w:p w:rsidR="00662C72" w:rsidRPr="004D5C3E" w:rsidRDefault="00662C72" w:rsidP="004D5C3E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D5C3E">
              <w:rPr>
                <w:rFonts w:ascii="Arial" w:hAnsi="Arial" w:cs="Arial"/>
                <w:sz w:val="20"/>
                <w:szCs w:val="20"/>
                <w:lang w:val="sl-SI"/>
              </w:rPr>
              <w:t>2,6</w:t>
            </w:r>
          </w:p>
        </w:tc>
      </w:tr>
    </w:tbl>
    <w:p w:rsidR="00093983" w:rsidRPr="004D5C3E" w:rsidRDefault="00093983" w:rsidP="004D5C3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93983" w:rsidRPr="004D5C3E" w:rsidRDefault="008734D1" w:rsidP="004D5C3E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D5C3E">
        <w:rPr>
          <w:rFonts w:ascii="Arial" w:hAnsi="Arial" w:cs="Arial"/>
          <w:sz w:val="20"/>
          <w:szCs w:val="20"/>
          <w:lang w:val="sl-SI"/>
        </w:rPr>
        <w:t xml:space="preserve">Vir: </w:t>
      </w:r>
      <w:r w:rsidR="00C6294A" w:rsidRPr="004D5C3E">
        <w:rPr>
          <w:rFonts w:ascii="Arial" w:hAnsi="Arial" w:cs="Arial"/>
          <w:sz w:val="20"/>
          <w:szCs w:val="20"/>
          <w:lang w:val="sl-SI"/>
        </w:rPr>
        <w:t>Predstavitev poročila</w:t>
      </w:r>
    </w:p>
    <w:p w:rsidR="00CA085A" w:rsidRPr="004D5C3E" w:rsidRDefault="00CA085A" w:rsidP="004D5C3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A085A" w:rsidRPr="004D5C3E" w:rsidRDefault="00CA085A" w:rsidP="004D5C3E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D5C3E">
        <w:rPr>
          <w:rFonts w:ascii="Arial" w:hAnsi="Arial" w:cs="Arial"/>
          <w:sz w:val="20"/>
          <w:szCs w:val="20"/>
          <w:lang w:val="sl-SI"/>
        </w:rPr>
        <w:t>Velike razlike med državami so tudi pri številu tujih predavateljev, ki so jih privabile akademske ustanove. V veliki večini držav je obvezna doktorska iz</w:t>
      </w:r>
      <w:r w:rsidR="00B2532D">
        <w:rPr>
          <w:rFonts w:ascii="Arial" w:hAnsi="Arial" w:cs="Arial"/>
          <w:sz w:val="20"/>
          <w:szCs w:val="20"/>
          <w:lang w:val="sl-SI"/>
        </w:rPr>
        <w:t>ob</w:t>
      </w:r>
      <w:r w:rsidRPr="004D5C3E">
        <w:rPr>
          <w:rFonts w:ascii="Arial" w:hAnsi="Arial" w:cs="Arial"/>
          <w:sz w:val="20"/>
          <w:szCs w:val="20"/>
          <w:lang w:val="sl-SI"/>
        </w:rPr>
        <w:t>razba za akademske položaje.</w:t>
      </w:r>
      <w:r w:rsidR="00C6294A" w:rsidRPr="004D5C3E">
        <w:rPr>
          <w:rFonts w:ascii="Arial" w:hAnsi="Arial" w:cs="Arial"/>
          <w:sz w:val="20"/>
          <w:szCs w:val="20"/>
          <w:lang w:val="sl-SI"/>
        </w:rPr>
        <w:t xml:space="preserve"> Varnost zaposlitve v akademske svetu ni norma, prav tako ugotavljajo pripravljavci poročila. </w:t>
      </w:r>
    </w:p>
    <w:p w:rsidR="00C6294A" w:rsidRPr="004D5C3E" w:rsidRDefault="00C6294A" w:rsidP="004D5C3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6294A" w:rsidRPr="004D5C3E" w:rsidRDefault="00C6294A" w:rsidP="004D5C3E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4D5C3E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4D5C3E" w:rsidRDefault="004D5C3E" w:rsidP="004D5C3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6294A" w:rsidRPr="004D5C3E" w:rsidRDefault="00C6294A" w:rsidP="004D5C3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D5C3E">
        <w:rPr>
          <w:rFonts w:ascii="Arial" w:hAnsi="Arial" w:cs="Arial"/>
          <w:sz w:val="20"/>
          <w:szCs w:val="20"/>
          <w:lang w:val="sl-SI"/>
        </w:rPr>
        <w:t>Predstavitev poročila o modernizaciji visokega šolstva v Evropi:</w:t>
      </w:r>
    </w:p>
    <w:p w:rsidR="00C6294A" w:rsidRPr="004D5C3E" w:rsidRDefault="00C6294A" w:rsidP="004D5C3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4D5C3E">
          <w:rPr>
            <w:rStyle w:val="Hiperpovezava"/>
            <w:rFonts w:ascii="Arial" w:hAnsi="Arial" w:cs="Arial"/>
            <w:sz w:val="20"/>
            <w:szCs w:val="20"/>
            <w:lang w:val="sl-SI"/>
          </w:rPr>
          <w:t>https://webgate.ec.europa.eu/fpfis/mwikis/eurydice/images/0/05/Doc_cover_Brief_Academic_Staff_N.pdf</w:t>
        </w:r>
      </w:hyperlink>
    </w:p>
    <w:p w:rsidR="00C6294A" w:rsidRPr="004D5C3E" w:rsidRDefault="00C6294A" w:rsidP="004D5C3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6294A" w:rsidRPr="004D5C3E" w:rsidRDefault="00C6294A" w:rsidP="004D5C3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D5C3E">
        <w:rPr>
          <w:rFonts w:ascii="Arial" w:hAnsi="Arial" w:cs="Arial"/>
          <w:sz w:val="20"/>
          <w:szCs w:val="20"/>
          <w:lang w:val="sl-SI"/>
        </w:rPr>
        <w:t>Poročilo o modernizaciji visokega šolstva v Evropi:</w:t>
      </w:r>
    </w:p>
    <w:p w:rsidR="00C6294A" w:rsidRPr="004D5C3E" w:rsidRDefault="00C6294A" w:rsidP="004D5C3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Pr="004D5C3E">
          <w:rPr>
            <w:rStyle w:val="Hiperpovezava"/>
            <w:rFonts w:ascii="Arial" w:hAnsi="Arial" w:cs="Arial"/>
            <w:sz w:val="20"/>
            <w:szCs w:val="20"/>
            <w:lang w:val="sl-SI"/>
          </w:rPr>
          <w:t>https://webgate.ec.europa.eu/fpfis/mwikis/eurydice/index.php/Publications:Modernisation_of_Higher_Education_in_Europe:_Academic_Staff_%E2%80%93_2017</w:t>
        </w:r>
      </w:hyperlink>
    </w:p>
    <w:p w:rsidR="004D5C3E" w:rsidRDefault="004D5C3E" w:rsidP="004D5C3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6294A" w:rsidRPr="004D5C3E" w:rsidRDefault="00C6294A" w:rsidP="004D5C3E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D5C3E">
        <w:rPr>
          <w:rFonts w:ascii="Arial" w:hAnsi="Arial" w:cs="Arial"/>
          <w:sz w:val="20"/>
          <w:szCs w:val="20"/>
          <w:lang w:val="sl-SI"/>
        </w:rPr>
        <w:t>Pripravila:</w:t>
      </w:r>
      <w:r w:rsidRPr="004D5C3E">
        <w:rPr>
          <w:rFonts w:ascii="Arial" w:hAnsi="Arial" w:cs="Arial"/>
          <w:sz w:val="20"/>
          <w:szCs w:val="20"/>
          <w:lang w:val="sl-SI"/>
        </w:rPr>
        <w:br/>
        <w:t>Darja Kocbek</w:t>
      </w:r>
    </w:p>
    <w:p w:rsidR="00CA085A" w:rsidRDefault="00CA085A"/>
    <w:p w:rsidR="00CA085A" w:rsidRDefault="00CA085A"/>
    <w:p w:rsidR="00CA085A" w:rsidRDefault="00CA085A"/>
    <w:p w:rsidR="00CA085A" w:rsidRDefault="00CA085A"/>
    <w:p w:rsidR="00093983" w:rsidRDefault="00093983"/>
    <w:p w:rsidR="00093983" w:rsidRDefault="00093983"/>
    <w:p w:rsidR="00093983" w:rsidRDefault="00093983"/>
    <w:sectPr w:rsidR="00093983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93E2F"/>
    <w:multiLevelType w:val="hybridMultilevel"/>
    <w:tmpl w:val="7FC885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61E"/>
    <w:rsid w:val="0000059D"/>
    <w:rsid w:val="00093983"/>
    <w:rsid w:val="001152B3"/>
    <w:rsid w:val="002414B9"/>
    <w:rsid w:val="004D5C3E"/>
    <w:rsid w:val="00662C72"/>
    <w:rsid w:val="008734D1"/>
    <w:rsid w:val="00A1761E"/>
    <w:rsid w:val="00B2532D"/>
    <w:rsid w:val="00B459D4"/>
    <w:rsid w:val="00C6294A"/>
    <w:rsid w:val="00CA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761E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32D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398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3983"/>
    <w:rPr>
      <w:rFonts w:ascii="Tahoma" w:eastAsia="Times New Roman" w:hAnsi="Tahoma" w:cs="Tahoma"/>
      <w:sz w:val="16"/>
      <w:szCs w:val="16"/>
      <w:lang w:val="en-US" w:bidi="en-US"/>
    </w:rPr>
  </w:style>
  <w:style w:type="table" w:styleId="Tabela-mrea">
    <w:name w:val="Table Grid"/>
    <w:basedOn w:val="Navadnatabela"/>
    <w:uiPriority w:val="59"/>
    <w:rsid w:val="0009398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6294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D5C3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25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B2532D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fpfis/mwikis/eurydice/index.php/Publications:Modernisation_of_Higher_Education_in_Europe:_Academic_Staff_%E2%80%93_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fpfis/mwikis/eurydice/images/0/05/Doc_cover_Brief_Academic_Staff_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8</cp:revision>
  <dcterms:created xsi:type="dcterms:W3CDTF">2017-10-23T15:58:00Z</dcterms:created>
  <dcterms:modified xsi:type="dcterms:W3CDTF">2017-10-23T16:44:00Z</dcterms:modified>
</cp:coreProperties>
</file>