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40C" w:rsidRPr="00467345" w:rsidRDefault="001C440C" w:rsidP="001C440C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4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40C" w:rsidRPr="00083714" w:rsidRDefault="001C440C" w:rsidP="001C440C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1C440C" w:rsidRPr="00083714" w:rsidRDefault="001C440C" w:rsidP="001C440C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1C440C" w:rsidRDefault="001C440C" w:rsidP="001C440C">
      <w:pPr>
        <w:tabs>
          <w:tab w:val="left" w:pos="3120"/>
        </w:tabs>
        <w:spacing w:after="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154 </w:t>
      </w:r>
      <w:r w:rsidRPr="00083714">
        <w:rPr>
          <w:b/>
        </w:rPr>
        <w:t>– 20</w:t>
      </w:r>
      <w:r>
        <w:rPr>
          <w:b/>
        </w:rPr>
        <w:t>21</w:t>
      </w:r>
    </w:p>
    <w:p w:rsidR="001C440C" w:rsidRDefault="001C440C" w:rsidP="001C440C">
      <w:pPr>
        <w:tabs>
          <w:tab w:val="left" w:pos="3120"/>
        </w:tabs>
        <w:spacing w:after="0"/>
        <w:jc w:val="center"/>
        <w:rPr>
          <w:b/>
        </w:rPr>
      </w:pPr>
    </w:p>
    <w:p w:rsidR="001C440C" w:rsidRDefault="001C440C" w:rsidP="001C440C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18. oktober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1C440C" w:rsidRPr="00050C1F" w:rsidRDefault="001C440C" w:rsidP="001C440C">
      <w:pPr>
        <w:tabs>
          <w:tab w:val="left" w:pos="3120"/>
        </w:tabs>
        <w:spacing w:after="0"/>
        <w:jc w:val="center"/>
        <w:rPr>
          <w:b/>
        </w:rPr>
      </w:pPr>
    </w:p>
    <w:p w:rsidR="006E7BCA" w:rsidRDefault="001C440C" w:rsidP="001C440C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Sporočilo Evropske komisije o cenah energije</w:t>
      </w:r>
    </w:p>
    <w:p w:rsidR="006C1B5E" w:rsidRPr="004E0A3C" w:rsidRDefault="00582DB6" w:rsidP="004E0A3C">
      <w:pPr>
        <w:jc w:val="both"/>
        <w:rPr>
          <w:rFonts w:ascii="Arial" w:hAnsi="Arial" w:cs="Arial"/>
          <w:b/>
          <w:i/>
        </w:rPr>
      </w:pPr>
      <w:r w:rsidRPr="004E0A3C">
        <w:rPr>
          <w:rFonts w:ascii="Arial" w:hAnsi="Arial" w:cs="Arial"/>
          <w:b/>
          <w:i/>
        </w:rPr>
        <w:t>Kot odziv na visoko rast cen energije je Evropska komisija sporočilo o cenah energije z naborom ukrepom, ki so kratkoročni in srednjeročni. Kratkoročni nacionalni ukrepi vključujejo nujno dohodkovno podporo gospodinjstvom, državno pomoč za podj</w:t>
      </w:r>
      <w:r w:rsidR="006D2BC8" w:rsidRPr="004E0A3C">
        <w:rPr>
          <w:rFonts w:ascii="Arial" w:hAnsi="Arial" w:cs="Arial"/>
          <w:b/>
          <w:i/>
        </w:rPr>
        <w:t xml:space="preserve">etja in ciljno znižanje davkov. Med srednjeročnimi ukrepi Evropska komisija napoveduje, da </w:t>
      </w:r>
      <w:r w:rsidRPr="004E0A3C">
        <w:rPr>
          <w:rFonts w:ascii="Arial" w:hAnsi="Arial" w:cs="Arial"/>
          <w:b/>
          <w:i/>
        </w:rPr>
        <w:t xml:space="preserve">bo podpirala naložbe v energijo iz obnovljivih virov in energijsko učinkovitost, preučila </w:t>
      </w:r>
      <w:r w:rsidR="006D2BC8" w:rsidRPr="004E0A3C">
        <w:rPr>
          <w:rFonts w:ascii="Arial" w:hAnsi="Arial" w:cs="Arial"/>
          <w:b/>
          <w:i/>
        </w:rPr>
        <w:t xml:space="preserve">bo </w:t>
      </w:r>
      <w:r w:rsidRPr="004E0A3C">
        <w:rPr>
          <w:rFonts w:ascii="Arial" w:hAnsi="Arial" w:cs="Arial"/>
          <w:b/>
          <w:i/>
        </w:rPr>
        <w:t>možne ukrepe v zvezi s shranjevanjem energije in kupovanjem rezervnih zalog plina ter ocenila trenutno zasnovo trga z električno energijo.</w:t>
      </w:r>
    </w:p>
    <w:p w:rsidR="00AE483A" w:rsidRPr="004E0A3C" w:rsidRDefault="00954AC4" w:rsidP="004E0A3C">
      <w:pPr>
        <w:jc w:val="both"/>
        <w:rPr>
          <w:rFonts w:ascii="Arial" w:hAnsi="Arial" w:cs="Arial"/>
          <w:b/>
          <w:sz w:val="20"/>
          <w:szCs w:val="20"/>
        </w:rPr>
      </w:pPr>
      <w:r w:rsidRPr="004E0A3C">
        <w:rPr>
          <w:rFonts w:ascii="Arial" w:hAnsi="Arial" w:cs="Arial"/>
          <w:b/>
          <w:sz w:val="20"/>
          <w:szCs w:val="20"/>
        </w:rPr>
        <w:t xml:space="preserve">Tabela 1: </w:t>
      </w:r>
      <w:r w:rsidR="00AE483A" w:rsidRPr="004E0A3C">
        <w:rPr>
          <w:rFonts w:ascii="Arial" w:hAnsi="Arial" w:cs="Arial"/>
          <w:b/>
          <w:sz w:val="20"/>
          <w:szCs w:val="20"/>
        </w:rPr>
        <w:t>Takojšnji ukrepi, ki jih Evropska komisija predlaga za zaščito odjemalcev in podjetij</w:t>
      </w:r>
    </w:p>
    <w:tbl>
      <w:tblPr>
        <w:tblStyle w:val="Tabela-mrea"/>
        <w:tblW w:w="9212" w:type="dxa"/>
        <w:tblLook w:val="04A0"/>
      </w:tblPr>
      <w:tblGrid>
        <w:gridCol w:w="9212"/>
      </w:tblGrid>
      <w:tr w:rsidR="000844AF" w:rsidRPr="004E0A3C" w:rsidTr="000844AF">
        <w:tc>
          <w:tcPr>
            <w:tcW w:w="9212" w:type="dxa"/>
          </w:tcPr>
          <w:p w:rsidR="000844AF" w:rsidRPr="004E0A3C" w:rsidRDefault="000844AF" w:rsidP="004E0A3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E0A3C">
              <w:rPr>
                <w:rFonts w:ascii="Arial" w:hAnsi="Arial" w:cs="Arial"/>
                <w:b/>
                <w:sz w:val="20"/>
                <w:szCs w:val="20"/>
              </w:rPr>
              <w:t>Ukrep</w:t>
            </w:r>
            <w:r w:rsidR="004E0A3C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  <w:tr w:rsidR="000844AF" w:rsidRPr="004E0A3C" w:rsidTr="000844AF">
        <w:tc>
          <w:tcPr>
            <w:tcW w:w="9212" w:type="dxa"/>
          </w:tcPr>
          <w:p w:rsidR="000844AF" w:rsidRPr="004E0A3C" w:rsidRDefault="000844AF" w:rsidP="004E0A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0A3C">
              <w:rPr>
                <w:rFonts w:ascii="Arial" w:hAnsi="Arial" w:cs="Arial"/>
                <w:sz w:val="20"/>
                <w:szCs w:val="20"/>
              </w:rPr>
              <w:t>Zagotavljanje nujne dohodkovne podpore za energijsko revne odjemalce z boni ali delnimi plačili računov, ki jih je mogoče kriti s prihodki iz sistema EU za trgovanje z emisijami</w:t>
            </w:r>
          </w:p>
        </w:tc>
      </w:tr>
      <w:tr w:rsidR="000844AF" w:rsidRPr="004E0A3C" w:rsidTr="000844AF">
        <w:tc>
          <w:tcPr>
            <w:tcW w:w="9212" w:type="dxa"/>
          </w:tcPr>
          <w:p w:rsidR="000844AF" w:rsidRPr="004E0A3C" w:rsidRDefault="000844AF" w:rsidP="004E0A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0A3C">
              <w:rPr>
                <w:rFonts w:ascii="Arial" w:hAnsi="Arial" w:cs="Arial"/>
                <w:sz w:val="20"/>
                <w:szCs w:val="20"/>
              </w:rPr>
              <w:t>Odobritev začasnih odlogov plačila računov</w:t>
            </w:r>
          </w:p>
        </w:tc>
      </w:tr>
      <w:tr w:rsidR="000844AF" w:rsidRPr="004E0A3C" w:rsidTr="000844AF">
        <w:tc>
          <w:tcPr>
            <w:tcW w:w="9212" w:type="dxa"/>
          </w:tcPr>
          <w:p w:rsidR="000844AF" w:rsidRPr="004E0A3C" w:rsidRDefault="000844AF" w:rsidP="004E0A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0A3C">
              <w:rPr>
                <w:rFonts w:ascii="Arial" w:hAnsi="Arial" w:cs="Arial"/>
                <w:sz w:val="20"/>
                <w:szCs w:val="20"/>
              </w:rPr>
              <w:t>Vzpostavitev zaščitnih ukrepov za preprečevanje odklopov z omrežja</w:t>
            </w:r>
          </w:p>
        </w:tc>
      </w:tr>
      <w:tr w:rsidR="000844AF" w:rsidRPr="004E0A3C" w:rsidTr="000844AF">
        <w:tc>
          <w:tcPr>
            <w:tcW w:w="9212" w:type="dxa"/>
          </w:tcPr>
          <w:p w:rsidR="000844AF" w:rsidRPr="004E0A3C" w:rsidRDefault="000844AF" w:rsidP="004E0A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0A3C">
              <w:rPr>
                <w:rFonts w:ascii="Arial" w:hAnsi="Arial" w:cs="Arial"/>
                <w:sz w:val="20"/>
                <w:szCs w:val="20"/>
              </w:rPr>
              <w:t>Začasna in usmerjena znižanja davčnih stopenj za ranljiva gospodinjstva</w:t>
            </w:r>
          </w:p>
        </w:tc>
      </w:tr>
      <w:tr w:rsidR="000844AF" w:rsidRPr="004E0A3C" w:rsidTr="000844AF">
        <w:tc>
          <w:tcPr>
            <w:tcW w:w="9212" w:type="dxa"/>
          </w:tcPr>
          <w:p w:rsidR="000844AF" w:rsidRPr="004E0A3C" w:rsidRDefault="000844AF" w:rsidP="004E0A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0A3C">
              <w:rPr>
                <w:rFonts w:ascii="Arial" w:hAnsi="Arial" w:cs="Arial"/>
                <w:sz w:val="20"/>
                <w:szCs w:val="20"/>
              </w:rPr>
              <w:t>Zagotavljanje pomoči podjetjem ali industrijskim panogam v skladu s pravili EU o državni pomoči</w:t>
            </w:r>
          </w:p>
        </w:tc>
      </w:tr>
      <w:tr w:rsidR="000844AF" w:rsidRPr="004E0A3C" w:rsidTr="000844AF">
        <w:tc>
          <w:tcPr>
            <w:tcW w:w="9212" w:type="dxa"/>
          </w:tcPr>
          <w:p w:rsidR="000844AF" w:rsidRPr="004E0A3C" w:rsidRDefault="000844AF" w:rsidP="004E0A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0A3C">
              <w:rPr>
                <w:rFonts w:ascii="Arial" w:hAnsi="Arial" w:cs="Arial"/>
                <w:sz w:val="20"/>
                <w:szCs w:val="20"/>
              </w:rPr>
              <w:t>Krepitev mednarodnega dosega na področju energije, da se zagotovi preglednost, likvidnost in prožnost mednarodnih trgov</w:t>
            </w:r>
          </w:p>
        </w:tc>
      </w:tr>
      <w:tr w:rsidR="000844AF" w:rsidRPr="004E0A3C" w:rsidTr="000844AF">
        <w:tc>
          <w:tcPr>
            <w:tcW w:w="9212" w:type="dxa"/>
          </w:tcPr>
          <w:p w:rsidR="000844AF" w:rsidRPr="004E0A3C" w:rsidRDefault="000844AF" w:rsidP="004E0A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0A3C">
              <w:rPr>
                <w:rFonts w:ascii="Arial" w:hAnsi="Arial" w:cs="Arial"/>
                <w:sz w:val="20"/>
                <w:szCs w:val="20"/>
              </w:rPr>
              <w:t xml:space="preserve">Preiskava morebitnega </w:t>
            </w:r>
            <w:proofErr w:type="spellStart"/>
            <w:r w:rsidRPr="004E0A3C">
              <w:rPr>
                <w:rFonts w:ascii="Arial" w:hAnsi="Arial" w:cs="Arial"/>
                <w:sz w:val="20"/>
                <w:szCs w:val="20"/>
              </w:rPr>
              <w:t>protikonkurenčnega</w:t>
            </w:r>
            <w:proofErr w:type="spellEnd"/>
            <w:r w:rsidRPr="004E0A3C">
              <w:rPr>
                <w:rFonts w:ascii="Arial" w:hAnsi="Arial" w:cs="Arial"/>
                <w:sz w:val="20"/>
                <w:szCs w:val="20"/>
              </w:rPr>
              <w:t xml:space="preserve"> ravnanja na trgu energije in poziv Evropskemu organu za vrednostne papirje in trge (ESMA), naj še okrepi spremljanje razvoja na trgu ogljika</w:t>
            </w:r>
          </w:p>
        </w:tc>
      </w:tr>
      <w:tr w:rsidR="000844AF" w:rsidRPr="004E0A3C" w:rsidTr="000844AF">
        <w:tc>
          <w:tcPr>
            <w:tcW w:w="9212" w:type="dxa"/>
          </w:tcPr>
          <w:p w:rsidR="000844AF" w:rsidRPr="004E0A3C" w:rsidRDefault="000844AF" w:rsidP="004E0A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0A3C">
              <w:rPr>
                <w:rFonts w:ascii="Arial" w:hAnsi="Arial" w:cs="Arial"/>
                <w:sz w:val="20"/>
                <w:szCs w:val="20"/>
              </w:rPr>
              <w:t>Omogočanje širšega dostopa do pogodb o nakupu električne energije iz obnovljivih virov in podpiranje takih pogodb s spremljajočimi ukrepi</w:t>
            </w:r>
          </w:p>
        </w:tc>
      </w:tr>
    </w:tbl>
    <w:p w:rsidR="000844AF" w:rsidRPr="004E0A3C" w:rsidRDefault="000844AF" w:rsidP="004E0A3C">
      <w:pPr>
        <w:jc w:val="both"/>
        <w:rPr>
          <w:rFonts w:ascii="Arial" w:hAnsi="Arial" w:cs="Arial"/>
          <w:sz w:val="20"/>
          <w:szCs w:val="20"/>
        </w:rPr>
      </w:pPr>
      <w:r w:rsidRPr="004E0A3C">
        <w:rPr>
          <w:rFonts w:ascii="Arial" w:hAnsi="Arial" w:cs="Arial"/>
          <w:sz w:val="20"/>
          <w:szCs w:val="20"/>
        </w:rPr>
        <w:t>Vir: Evropska komisija</w:t>
      </w:r>
    </w:p>
    <w:p w:rsidR="000844AF" w:rsidRPr="004E0A3C" w:rsidRDefault="00954AC4" w:rsidP="004E0A3C">
      <w:pPr>
        <w:jc w:val="both"/>
        <w:rPr>
          <w:rFonts w:ascii="Arial" w:hAnsi="Arial" w:cs="Arial"/>
          <w:b/>
          <w:sz w:val="20"/>
          <w:szCs w:val="20"/>
        </w:rPr>
      </w:pPr>
      <w:r w:rsidRPr="004E0A3C">
        <w:rPr>
          <w:rFonts w:ascii="Arial" w:hAnsi="Arial" w:cs="Arial"/>
          <w:b/>
          <w:sz w:val="20"/>
          <w:szCs w:val="20"/>
        </w:rPr>
        <w:t xml:space="preserve">Tabela 2: Srednjeročni ukrepi za </w:t>
      </w:r>
      <w:proofErr w:type="spellStart"/>
      <w:r w:rsidRPr="004E0A3C">
        <w:rPr>
          <w:rFonts w:ascii="Arial" w:hAnsi="Arial" w:cs="Arial"/>
          <w:b/>
          <w:sz w:val="20"/>
          <w:szCs w:val="20"/>
        </w:rPr>
        <w:t>razogljičen</w:t>
      </w:r>
      <w:proofErr w:type="spellEnd"/>
      <w:r w:rsidRPr="004E0A3C">
        <w:rPr>
          <w:rFonts w:ascii="Arial" w:hAnsi="Arial" w:cs="Arial"/>
          <w:b/>
          <w:sz w:val="20"/>
          <w:szCs w:val="20"/>
        </w:rPr>
        <w:t xml:space="preserve"> in odporen energetski sistem</w:t>
      </w:r>
    </w:p>
    <w:tbl>
      <w:tblPr>
        <w:tblStyle w:val="Tabela-mrea"/>
        <w:tblW w:w="0" w:type="auto"/>
        <w:tblLook w:val="04A0"/>
      </w:tblPr>
      <w:tblGrid>
        <w:gridCol w:w="9212"/>
      </w:tblGrid>
      <w:tr w:rsidR="00954AC4" w:rsidRPr="004E0A3C" w:rsidTr="00954AC4">
        <w:tc>
          <w:tcPr>
            <w:tcW w:w="9212" w:type="dxa"/>
          </w:tcPr>
          <w:p w:rsidR="00954AC4" w:rsidRPr="004E0A3C" w:rsidRDefault="00954AC4" w:rsidP="004E0A3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E0A3C">
              <w:rPr>
                <w:rFonts w:ascii="Arial" w:hAnsi="Arial" w:cs="Arial"/>
                <w:b/>
                <w:sz w:val="20"/>
                <w:szCs w:val="20"/>
              </w:rPr>
              <w:t>Ukrepi</w:t>
            </w:r>
          </w:p>
        </w:tc>
      </w:tr>
      <w:tr w:rsidR="00954AC4" w:rsidRPr="004E0A3C" w:rsidTr="00954AC4">
        <w:tc>
          <w:tcPr>
            <w:tcW w:w="9212" w:type="dxa"/>
          </w:tcPr>
          <w:p w:rsidR="00954AC4" w:rsidRPr="004E0A3C" w:rsidRDefault="00954AC4" w:rsidP="004E0A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0A3C">
              <w:rPr>
                <w:rFonts w:ascii="Arial" w:hAnsi="Arial" w:cs="Arial"/>
                <w:sz w:val="20"/>
                <w:szCs w:val="20"/>
              </w:rPr>
              <w:t>Okrepitev naložb v obnovljive vire energije, prenove in energijsko učinkovitost ter pospešitev dražb in postopkov izdaje dovoljenj za energijo iz obnovljivih virov</w:t>
            </w:r>
          </w:p>
        </w:tc>
      </w:tr>
      <w:tr w:rsidR="00954AC4" w:rsidRPr="004E0A3C" w:rsidTr="00954AC4">
        <w:tc>
          <w:tcPr>
            <w:tcW w:w="9212" w:type="dxa"/>
          </w:tcPr>
          <w:p w:rsidR="00954AC4" w:rsidRPr="004E0A3C" w:rsidRDefault="00954AC4" w:rsidP="004E0A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0A3C">
              <w:rPr>
                <w:rFonts w:ascii="Arial" w:hAnsi="Arial" w:cs="Arial"/>
                <w:sz w:val="20"/>
                <w:szCs w:val="20"/>
              </w:rPr>
              <w:t>Razvoj zmogljivosti za shranjevanje energije, da se podpre vse večji delež energije iz obnovljivih virov, vključno z baterijami in vodikom</w:t>
            </w:r>
          </w:p>
        </w:tc>
      </w:tr>
      <w:tr w:rsidR="00954AC4" w:rsidRPr="004E0A3C" w:rsidTr="00954AC4">
        <w:tc>
          <w:tcPr>
            <w:tcW w:w="9212" w:type="dxa"/>
          </w:tcPr>
          <w:p w:rsidR="00954AC4" w:rsidRPr="004E0A3C" w:rsidRDefault="00954AC4" w:rsidP="004E0A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0A3C">
              <w:rPr>
                <w:rFonts w:ascii="Arial" w:hAnsi="Arial" w:cs="Arial"/>
                <w:sz w:val="20"/>
                <w:szCs w:val="20"/>
              </w:rPr>
              <w:t>Poziv evropskim energetskim regulatorjem (ACER), naj preučijo koristi in slabosti obstoječe zasnove trga z električno energijo in po potrebi Komisiji predlagajo priporočila</w:t>
            </w:r>
          </w:p>
        </w:tc>
      </w:tr>
      <w:tr w:rsidR="00954AC4" w:rsidRPr="004E0A3C" w:rsidTr="00954AC4">
        <w:tc>
          <w:tcPr>
            <w:tcW w:w="9212" w:type="dxa"/>
          </w:tcPr>
          <w:p w:rsidR="00954AC4" w:rsidRPr="004E0A3C" w:rsidRDefault="00954AC4" w:rsidP="004E0A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0A3C">
              <w:rPr>
                <w:rFonts w:ascii="Arial" w:hAnsi="Arial" w:cs="Arial"/>
                <w:sz w:val="20"/>
                <w:szCs w:val="20"/>
              </w:rPr>
              <w:t>Razmislek o reviziji uredbe o zanesljivosti oskrbe, da bi zagotovili učinkovitejše skladiščenje plina v Evropi</w:t>
            </w:r>
          </w:p>
        </w:tc>
      </w:tr>
      <w:tr w:rsidR="00954AC4" w:rsidRPr="004E0A3C" w:rsidTr="00954AC4">
        <w:tc>
          <w:tcPr>
            <w:tcW w:w="9212" w:type="dxa"/>
          </w:tcPr>
          <w:p w:rsidR="00954AC4" w:rsidRPr="004E0A3C" w:rsidRDefault="00954AC4" w:rsidP="004E0A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0A3C">
              <w:rPr>
                <w:rFonts w:ascii="Arial" w:hAnsi="Arial" w:cs="Arial"/>
                <w:sz w:val="20"/>
                <w:szCs w:val="20"/>
              </w:rPr>
              <w:lastRenderedPageBreak/>
              <w:t>Preučitev morebitnih koristi prostovoljnega skupnega javnega naročanja rezervnih zalog plina s strani držav članic</w:t>
            </w:r>
          </w:p>
        </w:tc>
      </w:tr>
      <w:tr w:rsidR="00954AC4" w:rsidRPr="004E0A3C" w:rsidTr="00954AC4">
        <w:tc>
          <w:tcPr>
            <w:tcW w:w="9212" w:type="dxa"/>
          </w:tcPr>
          <w:p w:rsidR="00954AC4" w:rsidRPr="004E0A3C" w:rsidRDefault="00954AC4" w:rsidP="004E0A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0A3C">
              <w:rPr>
                <w:rFonts w:ascii="Arial" w:hAnsi="Arial" w:cs="Arial"/>
                <w:sz w:val="20"/>
                <w:szCs w:val="20"/>
              </w:rPr>
              <w:t>Vzpostavitev novih čezmejnih regionalnih skupin za tveganja v zvezi s plinom, da bi analizirale tveganja in svetovale državam članicam pri zasnovi njihovih nacionalnih preventivnih načrtov in načrtov za izredne razmere</w:t>
            </w:r>
          </w:p>
        </w:tc>
      </w:tr>
      <w:tr w:rsidR="00954AC4" w:rsidRPr="004E0A3C" w:rsidTr="00954AC4">
        <w:tc>
          <w:tcPr>
            <w:tcW w:w="9212" w:type="dxa"/>
          </w:tcPr>
          <w:p w:rsidR="00954AC4" w:rsidRPr="004E0A3C" w:rsidRDefault="00954AC4" w:rsidP="004E0A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0A3C">
              <w:rPr>
                <w:rFonts w:ascii="Arial" w:hAnsi="Arial" w:cs="Arial"/>
                <w:sz w:val="20"/>
                <w:szCs w:val="20"/>
              </w:rPr>
              <w:t>Okrepitev vloge odjemalcev na trgu energije, tako da se jim omogoči, da izberejo in zamenjajo dobavitelje, proizvajajo lastno električno energijo in se pridružijo energetskim skupnostim</w:t>
            </w:r>
          </w:p>
        </w:tc>
      </w:tr>
    </w:tbl>
    <w:p w:rsidR="00954AC4" w:rsidRPr="004E0A3C" w:rsidRDefault="00954AC4" w:rsidP="004E0A3C">
      <w:pPr>
        <w:jc w:val="both"/>
        <w:rPr>
          <w:rFonts w:ascii="Arial" w:hAnsi="Arial" w:cs="Arial"/>
          <w:sz w:val="20"/>
          <w:szCs w:val="20"/>
        </w:rPr>
      </w:pPr>
      <w:r w:rsidRPr="004E0A3C">
        <w:rPr>
          <w:rFonts w:ascii="Arial" w:hAnsi="Arial" w:cs="Arial"/>
          <w:sz w:val="20"/>
          <w:szCs w:val="20"/>
        </w:rPr>
        <w:t>Vir: Evropska komisija</w:t>
      </w:r>
    </w:p>
    <w:p w:rsidR="00954AC4" w:rsidRPr="004E0A3C" w:rsidRDefault="00954AC4" w:rsidP="004E0A3C">
      <w:pPr>
        <w:jc w:val="both"/>
        <w:rPr>
          <w:rFonts w:ascii="Arial" w:hAnsi="Arial" w:cs="Arial"/>
          <w:b/>
          <w:sz w:val="20"/>
          <w:szCs w:val="20"/>
        </w:rPr>
      </w:pPr>
      <w:r w:rsidRPr="004E0A3C">
        <w:rPr>
          <w:rFonts w:ascii="Arial" w:hAnsi="Arial" w:cs="Arial"/>
          <w:b/>
          <w:sz w:val="20"/>
          <w:szCs w:val="20"/>
        </w:rPr>
        <w:t>Korist</w:t>
      </w:r>
      <w:r w:rsidR="004E0A3C" w:rsidRPr="004E0A3C">
        <w:rPr>
          <w:rFonts w:ascii="Arial" w:hAnsi="Arial" w:cs="Arial"/>
          <w:b/>
          <w:sz w:val="20"/>
          <w:szCs w:val="20"/>
        </w:rPr>
        <w:t>ne inform</w:t>
      </w:r>
      <w:r w:rsidRPr="004E0A3C">
        <w:rPr>
          <w:rFonts w:ascii="Arial" w:hAnsi="Arial" w:cs="Arial"/>
          <w:b/>
          <w:sz w:val="20"/>
          <w:szCs w:val="20"/>
        </w:rPr>
        <w:t>acije:</w:t>
      </w:r>
    </w:p>
    <w:p w:rsidR="00954AC4" w:rsidRPr="004E0A3C" w:rsidRDefault="00954AC4" w:rsidP="004E0A3C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E0A3C">
        <w:rPr>
          <w:rFonts w:ascii="Arial" w:hAnsi="Arial" w:cs="Arial"/>
          <w:sz w:val="20"/>
          <w:szCs w:val="20"/>
        </w:rPr>
        <w:t xml:space="preserve">Sporočilo </w:t>
      </w:r>
      <w:r w:rsidR="004E0A3C" w:rsidRPr="004E0A3C">
        <w:rPr>
          <w:rFonts w:ascii="Arial" w:hAnsi="Arial" w:cs="Arial"/>
          <w:sz w:val="20"/>
          <w:szCs w:val="20"/>
        </w:rPr>
        <w:t>o cenah energije</w:t>
      </w:r>
      <w:r w:rsidRPr="004E0A3C">
        <w:rPr>
          <w:rFonts w:ascii="Arial" w:hAnsi="Arial" w:cs="Arial"/>
          <w:sz w:val="20"/>
          <w:szCs w:val="20"/>
        </w:rPr>
        <w:t>:</w:t>
      </w:r>
    </w:p>
    <w:p w:rsidR="004E0A3C" w:rsidRPr="004E0A3C" w:rsidRDefault="004E0A3C" w:rsidP="004E0A3C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4E0A3C">
          <w:rPr>
            <w:rStyle w:val="Hiperpovezava"/>
            <w:rFonts w:ascii="Arial" w:hAnsi="Arial" w:cs="Arial"/>
            <w:sz w:val="20"/>
            <w:szCs w:val="20"/>
          </w:rPr>
          <w:t>https://ec.europa.eu/energy/sites/default/files/tackling_rising_energy_prices_a_toolbox_for_action_and_support.pdf</w:t>
        </w:r>
      </w:hyperlink>
    </w:p>
    <w:p w:rsidR="004E0A3C" w:rsidRPr="004E0A3C" w:rsidRDefault="004E0A3C" w:rsidP="004E0A3C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E0A3C">
        <w:rPr>
          <w:rFonts w:ascii="Arial" w:hAnsi="Arial" w:cs="Arial"/>
          <w:sz w:val="20"/>
          <w:szCs w:val="20"/>
        </w:rPr>
        <w:t>Informativni pregled o trgu energije EU in cenah energije:</w:t>
      </w:r>
    </w:p>
    <w:p w:rsidR="004E0A3C" w:rsidRPr="004E0A3C" w:rsidRDefault="004E0A3C" w:rsidP="004E0A3C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4E0A3C">
          <w:rPr>
            <w:rStyle w:val="Hiperpovezava"/>
            <w:rFonts w:ascii="Arial" w:hAnsi="Arial" w:cs="Arial"/>
            <w:sz w:val="20"/>
            <w:szCs w:val="20"/>
          </w:rPr>
          <w:t>https://ec.europa.eu/commission/presscorner/detail/sl/fs_21_5212</w:t>
        </w:r>
      </w:hyperlink>
    </w:p>
    <w:p w:rsidR="004E0A3C" w:rsidRPr="004E0A3C" w:rsidRDefault="004E0A3C" w:rsidP="004E0A3C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E0A3C">
        <w:rPr>
          <w:rFonts w:ascii="Arial" w:hAnsi="Arial" w:cs="Arial"/>
          <w:sz w:val="20"/>
          <w:szCs w:val="20"/>
        </w:rPr>
        <w:t>Informativni pregled o naboru orodij:</w:t>
      </w:r>
    </w:p>
    <w:p w:rsidR="004E0A3C" w:rsidRPr="004E0A3C" w:rsidRDefault="004E0A3C" w:rsidP="004E0A3C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4E0A3C">
          <w:rPr>
            <w:rStyle w:val="Hiperpovezava"/>
            <w:rFonts w:ascii="Arial" w:hAnsi="Arial" w:cs="Arial"/>
            <w:sz w:val="20"/>
            <w:szCs w:val="20"/>
          </w:rPr>
          <w:t>https://ec.europa.eu/commission/presscorner/detail/sl/fs_21_5213</w:t>
        </w:r>
      </w:hyperlink>
    </w:p>
    <w:p w:rsidR="004E0A3C" w:rsidRPr="004E0A3C" w:rsidRDefault="004E0A3C" w:rsidP="004E0A3C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E0A3C">
        <w:rPr>
          <w:rFonts w:ascii="Arial" w:hAnsi="Arial" w:cs="Arial"/>
          <w:sz w:val="20"/>
          <w:szCs w:val="20"/>
        </w:rPr>
        <w:t>Spletišče o cenah energije v EU:</w:t>
      </w:r>
    </w:p>
    <w:p w:rsidR="004E0A3C" w:rsidRPr="004E0A3C" w:rsidRDefault="004E0A3C" w:rsidP="004E0A3C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4E0A3C">
          <w:rPr>
            <w:rStyle w:val="Hiperpovezava"/>
            <w:rFonts w:ascii="Arial" w:hAnsi="Arial" w:cs="Arial"/>
            <w:sz w:val="20"/>
            <w:szCs w:val="20"/>
          </w:rPr>
          <w:t>https://ec.europa.eu/energy/topics/markets-and-consumers/EU-energy-prices_en</w:t>
        </w:r>
      </w:hyperlink>
    </w:p>
    <w:p w:rsidR="004E0A3C" w:rsidRPr="004E0A3C" w:rsidRDefault="004E0A3C" w:rsidP="004E0A3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Pripr</w:t>
      </w:r>
      <w:r w:rsidRPr="004E0A3C">
        <w:rPr>
          <w:rFonts w:ascii="Arial" w:hAnsi="Arial" w:cs="Arial"/>
          <w:sz w:val="20"/>
          <w:szCs w:val="20"/>
        </w:rPr>
        <w:t>avila:</w:t>
      </w:r>
    </w:p>
    <w:p w:rsidR="004E0A3C" w:rsidRPr="004E0A3C" w:rsidRDefault="004E0A3C" w:rsidP="004E0A3C">
      <w:pPr>
        <w:spacing w:after="0"/>
        <w:jc w:val="both"/>
        <w:rPr>
          <w:rFonts w:ascii="Arial" w:hAnsi="Arial" w:cs="Arial"/>
          <w:sz w:val="20"/>
          <w:szCs w:val="20"/>
        </w:rPr>
      </w:pPr>
      <w:r w:rsidRPr="004E0A3C">
        <w:rPr>
          <w:rFonts w:ascii="Arial" w:hAnsi="Arial" w:cs="Arial"/>
          <w:sz w:val="20"/>
          <w:szCs w:val="20"/>
        </w:rPr>
        <w:t>Darja Kocbek</w:t>
      </w:r>
    </w:p>
    <w:p w:rsidR="00954AC4" w:rsidRDefault="00954AC4" w:rsidP="004E0A3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sectPr w:rsidR="00954AC4" w:rsidSect="006C1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A5CCA"/>
    <w:multiLevelType w:val="multilevel"/>
    <w:tmpl w:val="0CFC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A263D7"/>
    <w:multiLevelType w:val="hybridMultilevel"/>
    <w:tmpl w:val="FB0CB4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2DB6"/>
    <w:rsid w:val="000844AF"/>
    <w:rsid w:val="001C440C"/>
    <w:rsid w:val="004E0A3C"/>
    <w:rsid w:val="00582DB6"/>
    <w:rsid w:val="006C1B5E"/>
    <w:rsid w:val="006D2BC8"/>
    <w:rsid w:val="006E7BCA"/>
    <w:rsid w:val="00954AC4"/>
    <w:rsid w:val="00AE4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1B5E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C44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AE4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AE483A"/>
    <w:rPr>
      <w:b/>
      <w:bCs/>
    </w:rPr>
  </w:style>
  <w:style w:type="table" w:styleId="Tabela-mrea">
    <w:name w:val="Table Grid"/>
    <w:basedOn w:val="Navadnatabela"/>
    <w:uiPriority w:val="59"/>
    <w:rsid w:val="00AE48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4E0A3C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E0A3C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1C44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C4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C44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1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commission/presscorner/detail/sl/fs_21_52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commission/presscorner/detail/sl/fs_21_52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energy/sites/default/files/tackling_rising_energy_prices_a_toolbox_for_action_and_support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energy/topics/markets-and-consumers/EU-energy-prices_en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2021-10-14T07:12:00Z</dcterms:created>
  <dcterms:modified xsi:type="dcterms:W3CDTF">2021-10-14T07:35:00Z</dcterms:modified>
</cp:coreProperties>
</file>