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688" w:rsidRPr="00467345" w:rsidRDefault="00F30688" w:rsidP="00F30688">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F30688" w:rsidRPr="00083714" w:rsidRDefault="00F30688" w:rsidP="00F30688">
      <w:pPr>
        <w:pStyle w:val="Naslov2"/>
        <w:tabs>
          <w:tab w:val="left" w:pos="3120"/>
        </w:tabs>
        <w:spacing w:before="0" w:beforeAutospacing="0" w:after="0" w:afterAutospacing="0"/>
        <w:jc w:val="center"/>
        <w:rPr>
          <w:b w:val="0"/>
          <w:bCs w:val="0"/>
          <w:i/>
          <w:iCs/>
          <w:sz w:val="22"/>
        </w:rPr>
      </w:pPr>
      <w:r w:rsidRPr="00083714">
        <w:rPr>
          <w:sz w:val="22"/>
        </w:rPr>
        <w:t>Slovensko gospodarsko in raziskovalno združenje, Bruselj</w:t>
      </w:r>
    </w:p>
    <w:p w:rsidR="00F30688" w:rsidRPr="00083714" w:rsidRDefault="00F30688" w:rsidP="00F30688">
      <w:pPr>
        <w:pBdr>
          <w:bottom w:val="single" w:sz="6" w:space="1" w:color="auto"/>
        </w:pBdr>
        <w:tabs>
          <w:tab w:val="left" w:pos="3120"/>
        </w:tabs>
        <w:spacing w:after="0"/>
        <w:rPr>
          <w:sz w:val="16"/>
          <w:szCs w:val="16"/>
        </w:rPr>
      </w:pPr>
    </w:p>
    <w:p w:rsidR="00F30688" w:rsidRDefault="00F30688" w:rsidP="00F30688">
      <w:pPr>
        <w:tabs>
          <w:tab w:val="left" w:pos="3120"/>
        </w:tabs>
        <w:spacing w:after="0"/>
        <w:rPr>
          <w:b/>
        </w:rPr>
      </w:pPr>
      <w:r w:rsidRPr="00083714">
        <w:rPr>
          <w:b/>
        </w:rPr>
        <w:tab/>
      </w:r>
    </w:p>
    <w:p w:rsidR="00F30688" w:rsidRDefault="00F30688" w:rsidP="00F30688">
      <w:pPr>
        <w:tabs>
          <w:tab w:val="left" w:pos="3120"/>
        </w:tabs>
        <w:spacing w:after="0"/>
        <w:jc w:val="center"/>
        <w:rPr>
          <w:b/>
        </w:rPr>
      </w:pPr>
      <w:r>
        <w:rPr>
          <w:b/>
        </w:rPr>
        <w:t xml:space="preserve">Občasna informacija članom 151 </w:t>
      </w:r>
      <w:r w:rsidRPr="00083714">
        <w:rPr>
          <w:b/>
        </w:rPr>
        <w:t>– 20</w:t>
      </w:r>
      <w:r>
        <w:rPr>
          <w:b/>
        </w:rPr>
        <w:t>22</w:t>
      </w:r>
    </w:p>
    <w:p w:rsidR="00F30688" w:rsidRPr="0002310E" w:rsidRDefault="00F30688" w:rsidP="00F30688">
      <w:pPr>
        <w:tabs>
          <w:tab w:val="left" w:pos="3120"/>
        </w:tabs>
        <w:spacing w:after="0"/>
        <w:jc w:val="center"/>
        <w:rPr>
          <w:b/>
        </w:rPr>
      </w:pPr>
      <w:r>
        <w:rPr>
          <w:b/>
        </w:rPr>
        <w:t xml:space="preserve">02. oktober </w:t>
      </w:r>
      <w:r w:rsidRPr="00083714">
        <w:rPr>
          <w:b/>
        </w:rPr>
        <w:t xml:space="preserve"> 20</w:t>
      </w:r>
      <w:r>
        <w:rPr>
          <w:b/>
        </w:rPr>
        <w:t>22</w:t>
      </w:r>
    </w:p>
    <w:p w:rsidR="00F30688" w:rsidRDefault="00F30688" w:rsidP="00F30688">
      <w:pPr>
        <w:spacing w:after="0"/>
        <w:jc w:val="center"/>
        <w:rPr>
          <w:b/>
          <w:color w:val="993300"/>
          <w:sz w:val="32"/>
          <w:szCs w:val="32"/>
        </w:rPr>
      </w:pPr>
    </w:p>
    <w:p w:rsidR="00590EDE" w:rsidRDefault="00F30688" w:rsidP="00B35A43">
      <w:pPr>
        <w:jc w:val="center"/>
        <w:rPr>
          <w:rFonts w:ascii="Arial" w:hAnsi="Arial" w:cs="Arial"/>
          <w:b/>
          <w:i/>
        </w:rPr>
      </w:pPr>
      <w:r>
        <w:rPr>
          <w:b/>
          <w:color w:val="993300"/>
          <w:sz w:val="32"/>
          <w:szCs w:val="32"/>
        </w:rPr>
        <w:t>Predloga za prilagoditev pravil o odgovornosti</w:t>
      </w:r>
      <w:r w:rsidR="00B35A43">
        <w:rPr>
          <w:b/>
          <w:color w:val="993300"/>
          <w:sz w:val="32"/>
          <w:szCs w:val="32"/>
        </w:rPr>
        <w:t xml:space="preserve"> digitalni dobi in krožnemu gospodarstvu</w:t>
      </w:r>
    </w:p>
    <w:p w:rsidR="00E11DD6" w:rsidRPr="00590EDE" w:rsidRDefault="00590EDE" w:rsidP="00590EDE">
      <w:pPr>
        <w:jc w:val="both"/>
        <w:rPr>
          <w:rFonts w:ascii="Arial" w:hAnsi="Arial" w:cs="Arial"/>
          <w:b/>
          <w:i/>
        </w:rPr>
      </w:pPr>
      <w:r w:rsidRPr="00590EDE">
        <w:rPr>
          <w:rFonts w:ascii="Arial" w:hAnsi="Arial" w:cs="Arial"/>
          <w:b/>
          <w:i/>
        </w:rPr>
        <w:t>Evropska komisija</w:t>
      </w:r>
      <w:r w:rsidR="00DC1D1D" w:rsidRPr="00590EDE">
        <w:rPr>
          <w:rFonts w:ascii="Arial" w:hAnsi="Arial" w:cs="Arial"/>
          <w:b/>
          <w:i/>
        </w:rPr>
        <w:t xml:space="preserve"> je sprejela dva predloga za prilagoditev pravil o odgovornosti digitalni dobi, krožnemu gospodarstvu in vplivu globalnih vrednostnih verig. Prvi predlog se nanaša na posodobitev obstoječih pravil o objektivni odgovornosti proizvajalcev za proizvode z napako, drugi predlog pa na uskladitev nacionalnih pravil o odgovornosti za </w:t>
      </w:r>
      <w:r>
        <w:rPr>
          <w:rFonts w:ascii="Arial" w:hAnsi="Arial" w:cs="Arial"/>
          <w:b/>
          <w:i/>
        </w:rPr>
        <w:t xml:space="preserve">škodo, ki jo povzroči </w:t>
      </w:r>
      <w:r w:rsidR="00DC1D1D" w:rsidRPr="00590EDE">
        <w:rPr>
          <w:rFonts w:ascii="Arial" w:hAnsi="Arial" w:cs="Arial"/>
          <w:b/>
          <w:i/>
        </w:rPr>
        <w:t>umetn</w:t>
      </w:r>
      <w:r>
        <w:rPr>
          <w:rFonts w:ascii="Arial" w:hAnsi="Arial" w:cs="Arial"/>
          <w:b/>
          <w:i/>
        </w:rPr>
        <w:t>a inteligenca</w:t>
      </w:r>
      <w:r w:rsidR="00DC1D1D" w:rsidRPr="00590EDE">
        <w:rPr>
          <w:rFonts w:ascii="Arial" w:hAnsi="Arial" w:cs="Arial"/>
          <w:b/>
          <w:i/>
        </w:rPr>
        <w:t>. Komisija predlaga, da bi bile žrtve deležne enakih standardov zaščite, kadar jim škodo povzročijo izdelki ali storitve umetne inteligence, kot če bi bila škoda povzročena v katerih koli drugih okoliščinah.</w:t>
      </w:r>
    </w:p>
    <w:p w:rsidR="009A7059" w:rsidRPr="00590EDE" w:rsidRDefault="009A7059" w:rsidP="00590EDE">
      <w:pPr>
        <w:jc w:val="both"/>
        <w:rPr>
          <w:rFonts w:ascii="Arial" w:hAnsi="Arial" w:cs="Arial"/>
          <w:b/>
          <w:sz w:val="20"/>
          <w:szCs w:val="20"/>
        </w:rPr>
      </w:pPr>
      <w:r w:rsidRPr="00590EDE">
        <w:rPr>
          <w:rFonts w:ascii="Arial" w:hAnsi="Arial" w:cs="Arial"/>
          <w:b/>
          <w:sz w:val="20"/>
          <w:szCs w:val="20"/>
        </w:rPr>
        <w:t xml:space="preserve">Predlog revidirane direktive o </w:t>
      </w:r>
      <w:r w:rsidR="00A0446C" w:rsidRPr="00590EDE">
        <w:rPr>
          <w:rFonts w:ascii="Arial" w:hAnsi="Arial" w:cs="Arial"/>
          <w:b/>
          <w:sz w:val="20"/>
          <w:szCs w:val="20"/>
        </w:rPr>
        <w:t>objektivni odgovornosti proizvajalcev</w:t>
      </w:r>
    </w:p>
    <w:p w:rsidR="00A0446C" w:rsidRPr="00590EDE" w:rsidRDefault="00A0446C" w:rsidP="00590EDE">
      <w:pPr>
        <w:jc w:val="both"/>
        <w:rPr>
          <w:rFonts w:ascii="Arial" w:hAnsi="Arial" w:cs="Arial"/>
          <w:sz w:val="20"/>
          <w:szCs w:val="20"/>
        </w:rPr>
      </w:pPr>
      <w:r w:rsidRPr="00590EDE">
        <w:rPr>
          <w:rFonts w:ascii="Arial" w:hAnsi="Arial" w:cs="Arial"/>
          <w:sz w:val="20"/>
          <w:szCs w:val="20"/>
        </w:rPr>
        <w:t>Evropska komisija predlaga prilagoditev pravil za poslovne modele krožnega gospodarstva, pa za izdelke digitalne dobe, da bo mogoče zahtevati odškodnino za škodo, ko bodo izdelki, kot so roboti, brezpilotna letala ali sistemi pametnega doma, postali nevarni zaradi posodobitev programske opreme, umetne inteligence ali digitalnih storitev, ki so potrebne za delovanje izdelka, ter ko proizvajalci ne odpravijo ranljivosti kibernetske varnosti.</w:t>
      </w:r>
    </w:p>
    <w:p w:rsidR="00A0446C" w:rsidRPr="00590EDE" w:rsidRDefault="00A0446C" w:rsidP="00590EDE">
      <w:pPr>
        <w:jc w:val="both"/>
        <w:rPr>
          <w:rFonts w:ascii="Arial" w:hAnsi="Arial" w:cs="Arial"/>
          <w:sz w:val="20"/>
          <w:szCs w:val="20"/>
        </w:rPr>
      </w:pPr>
      <w:r w:rsidRPr="00590EDE">
        <w:rPr>
          <w:rFonts w:ascii="Arial" w:hAnsi="Arial" w:cs="Arial"/>
          <w:sz w:val="20"/>
          <w:szCs w:val="20"/>
        </w:rPr>
        <w:t xml:space="preserve">Predlog prav tako vsebuje rešitve za zagotovitev enakih konkurenčnih pogojev za proizvajalce iz EU in tretjih držav. Če bodo potrošniki utrpeli škodo zaradi nevarnih izdelkov, uvoženih iz držav zunaj EU, se bodo lahko za odškodnino obrnili na uvoznika ali predstavnika proizvajalca v EU. </w:t>
      </w:r>
    </w:p>
    <w:p w:rsidR="00A0446C" w:rsidRPr="00590EDE" w:rsidRDefault="00A0446C" w:rsidP="00590EDE">
      <w:pPr>
        <w:jc w:val="both"/>
        <w:rPr>
          <w:rFonts w:ascii="Arial" w:hAnsi="Arial" w:cs="Arial"/>
          <w:b/>
          <w:sz w:val="20"/>
          <w:szCs w:val="20"/>
        </w:rPr>
      </w:pPr>
      <w:r w:rsidRPr="00590EDE">
        <w:rPr>
          <w:rFonts w:ascii="Arial" w:hAnsi="Arial" w:cs="Arial"/>
          <w:b/>
          <w:sz w:val="20"/>
          <w:szCs w:val="20"/>
        </w:rPr>
        <w:t xml:space="preserve">Predlog direktive o odgovornosti za </w:t>
      </w:r>
      <w:r w:rsidR="00590EDE">
        <w:rPr>
          <w:rFonts w:ascii="Arial" w:hAnsi="Arial" w:cs="Arial"/>
          <w:b/>
          <w:sz w:val="20"/>
          <w:szCs w:val="20"/>
        </w:rPr>
        <w:t xml:space="preserve">škodo, povzročeno z </w:t>
      </w:r>
      <w:r w:rsidRPr="00590EDE">
        <w:rPr>
          <w:rFonts w:ascii="Arial" w:hAnsi="Arial" w:cs="Arial"/>
          <w:b/>
          <w:sz w:val="20"/>
          <w:szCs w:val="20"/>
        </w:rPr>
        <w:t>umetno inteligenco</w:t>
      </w:r>
    </w:p>
    <w:p w:rsidR="00A0446C" w:rsidRPr="00590EDE" w:rsidRDefault="00A0446C" w:rsidP="00590EDE">
      <w:pPr>
        <w:jc w:val="both"/>
        <w:rPr>
          <w:rFonts w:ascii="Arial" w:hAnsi="Arial" w:cs="Arial"/>
          <w:sz w:val="20"/>
          <w:szCs w:val="20"/>
        </w:rPr>
      </w:pPr>
      <w:r w:rsidRPr="00590EDE">
        <w:rPr>
          <w:rFonts w:ascii="Arial" w:hAnsi="Arial" w:cs="Arial"/>
          <w:sz w:val="20"/>
          <w:szCs w:val="20"/>
        </w:rPr>
        <w:t>Namen predloga direktive je določiti enotna pravila za dostop do informacij in zmanjšanje dokaznega bremena v zvezi s škodo, ki jo povzročijo sistemi umetne inteligence, vzpostaviti širšo zaščito za žrtve (posameznike ali podjetja). Predlagana je uskladitev pravil za zahtevke zunaj področja uporabe direktive o odgovornosti za proizvode, v primerih, ko je škoda nastala zaradi nepravilnega ravnanja. To zajema na primer kršitve zasebnosti ali škodo, povzročeno zaradi varnostnih vprašanj. Nova pravila naj bi na primer olajšala pridobitev odškodnine, če je bil nekdo diskriminiran v postopku zaposlovanja, ki vključuje tehnologijo umetne inteligence.</w:t>
      </w:r>
    </w:p>
    <w:p w:rsidR="00B35A43" w:rsidRDefault="00B35A43" w:rsidP="00590EDE">
      <w:pPr>
        <w:jc w:val="both"/>
        <w:rPr>
          <w:rFonts w:ascii="Arial" w:hAnsi="Arial" w:cs="Arial"/>
          <w:b/>
          <w:sz w:val="20"/>
          <w:szCs w:val="20"/>
        </w:rPr>
      </w:pPr>
    </w:p>
    <w:p w:rsidR="00B35A43" w:rsidRDefault="00B35A43" w:rsidP="00590EDE">
      <w:pPr>
        <w:jc w:val="both"/>
        <w:rPr>
          <w:rFonts w:ascii="Arial" w:hAnsi="Arial" w:cs="Arial"/>
          <w:b/>
          <w:sz w:val="20"/>
          <w:szCs w:val="20"/>
        </w:rPr>
      </w:pPr>
    </w:p>
    <w:p w:rsidR="00A0446C" w:rsidRPr="00590EDE" w:rsidRDefault="00A0446C" w:rsidP="00590EDE">
      <w:pPr>
        <w:jc w:val="both"/>
        <w:rPr>
          <w:rFonts w:ascii="Arial" w:hAnsi="Arial" w:cs="Arial"/>
          <w:b/>
          <w:sz w:val="20"/>
          <w:szCs w:val="20"/>
        </w:rPr>
      </w:pPr>
      <w:r w:rsidRPr="00590EDE">
        <w:rPr>
          <w:rFonts w:ascii="Arial" w:hAnsi="Arial" w:cs="Arial"/>
          <w:b/>
          <w:sz w:val="20"/>
          <w:szCs w:val="20"/>
        </w:rPr>
        <w:lastRenderedPageBreak/>
        <w:t>Koristne informacije:</w:t>
      </w:r>
    </w:p>
    <w:p w:rsidR="00A0446C" w:rsidRPr="00590EDE" w:rsidRDefault="00A0446C" w:rsidP="00590EDE">
      <w:pPr>
        <w:pStyle w:val="Odstavekseznama"/>
        <w:numPr>
          <w:ilvl w:val="0"/>
          <w:numId w:val="1"/>
        </w:numPr>
        <w:jc w:val="both"/>
        <w:rPr>
          <w:rFonts w:ascii="Arial" w:hAnsi="Arial" w:cs="Arial"/>
          <w:sz w:val="20"/>
          <w:szCs w:val="20"/>
        </w:rPr>
      </w:pPr>
      <w:r w:rsidRPr="00590EDE">
        <w:rPr>
          <w:rFonts w:ascii="Arial" w:hAnsi="Arial" w:cs="Arial"/>
          <w:sz w:val="20"/>
          <w:szCs w:val="20"/>
        </w:rPr>
        <w:t xml:space="preserve">Predlog direktive o prilagoditvi pravil o </w:t>
      </w:r>
      <w:proofErr w:type="spellStart"/>
      <w:r w:rsidRPr="00590EDE">
        <w:rPr>
          <w:rFonts w:ascii="Arial" w:hAnsi="Arial" w:cs="Arial"/>
          <w:sz w:val="20"/>
          <w:szCs w:val="20"/>
        </w:rPr>
        <w:t>nepogodbeni</w:t>
      </w:r>
      <w:proofErr w:type="spellEnd"/>
      <w:r w:rsidRPr="00590EDE">
        <w:rPr>
          <w:rFonts w:ascii="Arial" w:hAnsi="Arial" w:cs="Arial"/>
          <w:sz w:val="20"/>
          <w:szCs w:val="20"/>
        </w:rPr>
        <w:t xml:space="preserve"> civilni odgovornosti umetni inteligenci:</w:t>
      </w:r>
    </w:p>
    <w:p w:rsidR="00A0446C" w:rsidRPr="00590EDE" w:rsidRDefault="00A0446C" w:rsidP="00590EDE">
      <w:pPr>
        <w:pStyle w:val="Odstavekseznama"/>
        <w:numPr>
          <w:ilvl w:val="0"/>
          <w:numId w:val="1"/>
        </w:numPr>
        <w:jc w:val="both"/>
        <w:rPr>
          <w:rFonts w:ascii="Arial" w:hAnsi="Arial" w:cs="Arial"/>
          <w:sz w:val="20"/>
          <w:szCs w:val="20"/>
        </w:rPr>
      </w:pPr>
      <w:hyperlink r:id="rId6" w:history="1">
        <w:r w:rsidRPr="00590EDE">
          <w:rPr>
            <w:rStyle w:val="Hiperpovezava"/>
            <w:rFonts w:ascii="Arial" w:hAnsi="Arial" w:cs="Arial"/>
            <w:sz w:val="20"/>
            <w:szCs w:val="20"/>
          </w:rPr>
          <w:t>https://ec.europa.eu/info/files/proposal-directive-adapting-non-contractual-civil-liability-rules-artificial-intelligence_sl</w:t>
        </w:r>
      </w:hyperlink>
    </w:p>
    <w:p w:rsidR="00A0446C" w:rsidRPr="00590EDE" w:rsidRDefault="00590EDE" w:rsidP="00590EDE">
      <w:pPr>
        <w:pStyle w:val="Odstavekseznama"/>
        <w:numPr>
          <w:ilvl w:val="0"/>
          <w:numId w:val="1"/>
        </w:numPr>
        <w:jc w:val="both"/>
        <w:rPr>
          <w:rFonts w:ascii="Arial" w:hAnsi="Arial" w:cs="Arial"/>
          <w:sz w:val="20"/>
          <w:szCs w:val="20"/>
        </w:rPr>
      </w:pPr>
      <w:r w:rsidRPr="00590EDE">
        <w:rPr>
          <w:rFonts w:ascii="Arial" w:hAnsi="Arial" w:cs="Arial"/>
          <w:sz w:val="20"/>
          <w:szCs w:val="20"/>
        </w:rPr>
        <w:t>Predlog za r</w:t>
      </w:r>
      <w:r w:rsidR="00A0446C" w:rsidRPr="00590EDE">
        <w:rPr>
          <w:rFonts w:ascii="Arial" w:hAnsi="Arial" w:cs="Arial"/>
          <w:sz w:val="20"/>
          <w:szCs w:val="20"/>
        </w:rPr>
        <w:t>evizij</w:t>
      </w:r>
      <w:r w:rsidRPr="00590EDE">
        <w:rPr>
          <w:rFonts w:ascii="Arial" w:hAnsi="Arial" w:cs="Arial"/>
          <w:sz w:val="20"/>
          <w:szCs w:val="20"/>
        </w:rPr>
        <w:t>o</w:t>
      </w:r>
      <w:r w:rsidR="00A0446C" w:rsidRPr="00590EDE">
        <w:rPr>
          <w:rFonts w:ascii="Arial" w:hAnsi="Arial" w:cs="Arial"/>
          <w:sz w:val="20"/>
          <w:szCs w:val="20"/>
        </w:rPr>
        <w:t xml:space="preserve"> direktive o odgovornosti za proizvode:</w:t>
      </w:r>
    </w:p>
    <w:p w:rsidR="00A0446C" w:rsidRPr="00590EDE" w:rsidRDefault="00A0446C" w:rsidP="00590EDE">
      <w:pPr>
        <w:pStyle w:val="Odstavekseznama"/>
        <w:numPr>
          <w:ilvl w:val="0"/>
          <w:numId w:val="1"/>
        </w:numPr>
        <w:jc w:val="both"/>
        <w:rPr>
          <w:rFonts w:ascii="Arial" w:hAnsi="Arial" w:cs="Arial"/>
          <w:sz w:val="20"/>
          <w:szCs w:val="20"/>
        </w:rPr>
      </w:pPr>
      <w:hyperlink r:id="rId7" w:history="1">
        <w:r w:rsidRPr="00590EDE">
          <w:rPr>
            <w:rStyle w:val="Hiperpovezava"/>
            <w:rFonts w:ascii="Arial" w:hAnsi="Arial" w:cs="Arial"/>
            <w:sz w:val="20"/>
            <w:szCs w:val="20"/>
          </w:rPr>
          <w:t>https://single-market-economy.ec.europa.eu/document/3193da9a-cecb-44ad-9a9c-7b6b23220bcd_sl</w:t>
        </w:r>
      </w:hyperlink>
    </w:p>
    <w:p w:rsidR="00A0446C" w:rsidRPr="00590EDE" w:rsidRDefault="00590EDE" w:rsidP="00590EDE">
      <w:pPr>
        <w:pStyle w:val="Odstavekseznama"/>
        <w:numPr>
          <w:ilvl w:val="0"/>
          <w:numId w:val="1"/>
        </w:numPr>
        <w:jc w:val="both"/>
        <w:rPr>
          <w:rFonts w:ascii="Arial" w:hAnsi="Arial" w:cs="Arial"/>
          <w:sz w:val="20"/>
          <w:szCs w:val="20"/>
        </w:rPr>
      </w:pPr>
      <w:r w:rsidRPr="00590EDE">
        <w:rPr>
          <w:rFonts w:ascii="Arial" w:hAnsi="Arial" w:cs="Arial"/>
          <w:sz w:val="20"/>
          <w:szCs w:val="20"/>
        </w:rPr>
        <w:t>Pravila o odgovornosti za umetno inteligenco:</w:t>
      </w:r>
    </w:p>
    <w:p w:rsidR="00590EDE" w:rsidRPr="00590EDE" w:rsidRDefault="00590EDE" w:rsidP="00590EDE">
      <w:pPr>
        <w:pStyle w:val="Odstavekseznama"/>
        <w:numPr>
          <w:ilvl w:val="0"/>
          <w:numId w:val="1"/>
        </w:numPr>
        <w:jc w:val="both"/>
        <w:rPr>
          <w:rFonts w:ascii="Arial" w:hAnsi="Arial" w:cs="Arial"/>
          <w:sz w:val="20"/>
          <w:szCs w:val="20"/>
        </w:rPr>
      </w:pPr>
      <w:hyperlink r:id="rId8" w:history="1">
        <w:r w:rsidRPr="00590EDE">
          <w:rPr>
            <w:rStyle w:val="Hiperpovezava"/>
            <w:rFonts w:ascii="Arial" w:hAnsi="Arial" w:cs="Arial"/>
            <w:sz w:val="20"/>
            <w:szCs w:val="20"/>
          </w:rPr>
          <w:t>https://ec.europa.eu/info/business-economy-euro/doing-business-eu/contract-rules/digital-contracts/liability-rules-artificial-intelligence_en</w:t>
        </w:r>
      </w:hyperlink>
    </w:p>
    <w:p w:rsidR="00590EDE" w:rsidRPr="00590EDE" w:rsidRDefault="00590EDE" w:rsidP="00590EDE">
      <w:pPr>
        <w:pStyle w:val="Odstavekseznama"/>
        <w:numPr>
          <w:ilvl w:val="0"/>
          <w:numId w:val="1"/>
        </w:numPr>
        <w:jc w:val="both"/>
        <w:rPr>
          <w:rFonts w:ascii="Arial" w:hAnsi="Arial" w:cs="Arial"/>
          <w:sz w:val="20"/>
          <w:szCs w:val="20"/>
        </w:rPr>
      </w:pPr>
      <w:r w:rsidRPr="00590EDE">
        <w:rPr>
          <w:rFonts w:ascii="Arial" w:hAnsi="Arial" w:cs="Arial"/>
          <w:sz w:val="20"/>
          <w:szCs w:val="20"/>
        </w:rPr>
        <w:t>Odgovornost za proizvode z napako:</w:t>
      </w:r>
    </w:p>
    <w:p w:rsidR="00590EDE" w:rsidRPr="00590EDE" w:rsidRDefault="00590EDE" w:rsidP="00590EDE">
      <w:pPr>
        <w:pStyle w:val="Odstavekseznama"/>
        <w:numPr>
          <w:ilvl w:val="0"/>
          <w:numId w:val="1"/>
        </w:numPr>
        <w:jc w:val="both"/>
        <w:rPr>
          <w:rFonts w:ascii="Arial" w:hAnsi="Arial" w:cs="Arial"/>
          <w:sz w:val="20"/>
          <w:szCs w:val="20"/>
        </w:rPr>
      </w:pPr>
      <w:hyperlink r:id="rId9" w:history="1">
        <w:r w:rsidRPr="00590EDE">
          <w:rPr>
            <w:rStyle w:val="Hiperpovezava"/>
            <w:rFonts w:ascii="Arial" w:hAnsi="Arial" w:cs="Arial"/>
            <w:sz w:val="20"/>
            <w:szCs w:val="20"/>
          </w:rPr>
          <w:t>https://single-market-economy.ec.europa.eu/single-market/goods/free-movement-sectors/liability-defective-products_en</w:t>
        </w:r>
      </w:hyperlink>
    </w:p>
    <w:p w:rsidR="00590EDE" w:rsidRPr="00590EDE" w:rsidRDefault="00590EDE" w:rsidP="00590EDE">
      <w:pPr>
        <w:pStyle w:val="Odstavekseznama"/>
        <w:numPr>
          <w:ilvl w:val="0"/>
          <w:numId w:val="1"/>
        </w:numPr>
        <w:jc w:val="both"/>
        <w:rPr>
          <w:rFonts w:ascii="Arial" w:hAnsi="Arial" w:cs="Arial"/>
          <w:sz w:val="20"/>
          <w:szCs w:val="20"/>
        </w:rPr>
      </w:pPr>
      <w:r w:rsidRPr="00590EDE">
        <w:rPr>
          <w:rFonts w:ascii="Arial" w:hAnsi="Arial" w:cs="Arial"/>
          <w:sz w:val="20"/>
          <w:szCs w:val="20"/>
        </w:rPr>
        <w:t>Bela knjiga o umetni inteligenci:</w:t>
      </w:r>
    </w:p>
    <w:p w:rsidR="00590EDE" w:rsidRPr="00590EDE" w:rsidRDefault="00590EDE" w:rsidP="00590EDE">
      <w:pPr>
        <w:pStyle w:val="Odstavekseznama"/>
        <w:numPr>
          <w:ilvl w:val="0"/>
          <w:numId w:val="1"/>
        </w:numPr>
        <w:jc w:val="both"/>
        <w:rPr>
          <w:rFonts w:ascii="Arial" w:hAnsi="Arial" w:cs="Arial"/>
          <w:sz w:val="20"/>
          <w:szCs w:val="20"/>
        </w:rPr>
      </w:pPr>
      <w:hyperlink r:id="rId10" w:history="1">
        <w:r w:rsidRPr="00590EDE">
          <w:rPr>
            <w:rStyle w:val="Hiperpovezava"/>
            <w:rFonts w:ascii="Arial" w:hAnsi="Arial" w:cs="Arial"/>
            <w:sz w:val="20"/>
            <w:szCs w:val="20"/>
          </w:rPr>
          <w:t>https://eur-lex.europa.eu/legal-content/SL/TXT/HTML/?uri=CELEX:52020DC0065&amp;from=EN</w:t>
        </w:r>
      </w:hyperlink>
    </w:p>
    <w:p w:rsidR="00590EDE" w:rsidRPr="00590EDE" w:rsidRDefault="00590EDE" w:rsidP="00590EDE">
      <w:pPr>
        <w:pStyle w:val="Odstavekseznama"/>
        <w:numPr>
          <w:ilvl w:val="0"/>
          <w:numId w:val="1"/>
        </w:numPr>
        <w:jc w:val="both"/>
        <w:rPr>
          <w:rFonts w:ascii="Arial" w:hAnsi="Arial" w:cs="Arial"/>
          <w:sz w:val="20"/>
          <w:szCs w:val="20"/>
        </w:rPr>
      </w:pPr>
      <w:r w:rsidRPr="00590EDE">
        <w:rPr>
          <w:rFonts w:ascii="Arial" w:hAnsi="Arial" w:cs="Arial"/>
          <w:sz w:val="20"/>
          <w:szCs w:val="20"/>
        </w:rPr>
        <w:t>Poročilo o vprašanjih varnosti in odgovornosti, ki jih sprožajo umetna inteligenca, internet stvari in robotika:</w:t>
      </w:r>
    </w:p>
    <w:p w:rsidR="00590EDE" w:rsidRPr="00590EDE" w:rsidRDefault="00590EDE" w:rsidP="00590EDE">
      <w:pPr>
        <w:pStyle w:val="Odstavekseznama"/>
        <w:numPr>
          <w:ilvl w:val="0"/>
          <w:numId w:val="1"/>
        </w:numPr>
        <w:jc w:val="both"/>
        <w:rPr>
          <w:rFonts w:ascii="Arial" w:hAnsi="Arial" w:cs="Arial"/>
          <w:sz w:val="20"/>
          <w:szCs w:val="20"/>
        </w:rPr>
      </w:pPr>
      <w:hyperlink r:id="rId11" w:history="1">
        <w:r w:rsidRPr="00590EDE">
          <w:rPr>
            <w:rStyle w:val="Hiperpovezava"/>
            <w:rFonts w:ascii="Arial" w:hAnsi="Arial" w:cs="Arial"/>
            <w:sz w:val="20"/>
            <w:szCs w:val="20"/>
          </w:rPr>
          <w:t>https://eur-lex.europa.eu/legal-content/SL/TXT/HTML/?uri=CELEX:52020DC0064&amp;from=en</w:t>
        </w:r>
      </w:hyperlink>
    </w:p>
    <w:p w:rsidR="00590EDE" w:rsidRPr="00590EDE" w:rsidRDefault="00590EDE" w:rsidP="00590EDE">
      <w:pPr>
        <w:pStyle w:val="Odstavekseznama"/>
        <w:numPr>
          <w:ilvl w:val="0"/>
          <w:numId w:val="1"/>
        </w:numPr>
        <w:jc w:val="both"/>
        <w:rPr>
          <w:rFonts w:ascii="Arial" w:hAnsi="Arial" w:cs="Arial"/>
          <w:sz w:val="20"/>
          <w:szCs w:val="20"/>
        </w:rPr>
      </w:pPr>
      <w:r w:rsidRPr="00590EDE">
        <w:rPr>
          <w:rFonts w:ascii="Arial" w:hAnsi="Arial" w:cs="Arial"/>
          <w:sz w:val="20"/>
          <w:szCs w:val="20"/>
        </w:rPr>
        <w:t>Poročilo strokovne skupine o odgovornosti za umetno inteligenco in druge nastajajoče digitalne tehnologije:</w:t>
      </w:r>
    </w:p>
    <w:p w:rsidR="00590EDE" w:rsidRPr="00590EDE" w:rsidRDefault="00590EDE" w:rsidP="00590EDE">
      <w:pPr>
        <w:pStyle w:val="Odstavekseznama"/>
        <w:numPr>
          <w:ilvl w:val="0"/>
          <w:numId w:val="1"/>
        </w:numPr>
        <w:jc w:val="both"/>
        <w:rPr>
          <w:rFonts w:ascii="Arial" w:hAnsi="Arial" w:cs="Arial"/>
          <w:sz w:val="20"/>
          <w:szCs w:val="20"/>
        </w:rPr>
      </w:pPr>
      <w:hyperlink r:id="rId12" w:history="1">
        <w:r w:rsidRPr="00590EDE">
          <w:rPr>
            <w:rStyle w:val="Hiperpovezava"/>
            <w:rFonts w:ascii="Arial" w:hAnsi="Arial" w:cs="Arial"/>
            <w:sz w:val="20"/>
            <w:szCs w:val="20"/>
          </w:rPr>
          <w:t>https://op.europa.eu/en/publication-detail/-/publication/1c5e30be-1197-11ea-8c1f-01aa75ed71a1/language-en</w:t>
        </w:r>
      </w:hyperlink>
    </w:p>
    <w:p w:rsidR="00590EDE" w:rsidRPr="00590EDE" w:rsidRDefault="00590EDE" w:rsidP="00590EDE">
      <w:pPr>
        <w:pStyle w:val="Odstavekseznama"/>
        <w:numPr>
          <w:ilvl w:val="0"/>
          <w:numId w:val="1"/>
        </w:numPr>
        <w:jc w:val="both"/>
        <w:rPr>
          <w:rFonts w:ascii="Arial" w:hAnsi="Arial" w:cs="Arial"/>
          <w:sz w:val="20"/>
          <w:szCs w:val="20"/>
        </w:rPr>
      </w:pPr>
      <w:r w:rsidRPr="00590EDE">
        <w:rPr>
          <w:rFonts w:ascii="Arial" w:hAnsi="Arial" w:cs="Arial"/>
          <w:sz w:val="20"/>
          <w:szCs w:val="20"/>
        </w:rPr>
        <w:t>Pravna študija o civilni odgovornosti za umetno inteligenco:</w:t>
      </w:r>
    </w:p>
    <w:p w:rsidR="00590EDE" w:rsidRPr="00590EDE" w:rsidRDefault="00590EDE" w:rsidP="00590EDE">
      <w:pPr>
        <w:pStyle w:val="Odstavekseznama"/>
        <w:numPr>
          <w:ilvl w:val="0"/>
          <w:numId w:val="1"/>
        </w:numPr>
        <w:jc w:val="both"/>
        <w:rPr>
          <w:rFonts w:ascii="Arial" w:hAnsi="Arial" w:cs="Arial"/>
          <w:sz w:val="20"/>
          <w:szCs w:val="20"/>
        </w:rPr>
      </w:pPr>
      <w:hyperlink r:id="rId13" w:history="1">
        <w:r w:rsidRPr="00590EDE">
          <w:rPr>
            <w:rStyle w:val="Hiperpovezava"/>
            <w:rFonts w:ascii="Arial" w:hAnsi="Arial" w:cs="Arial"/>
            <w:sz w:val="20"/>
            <w:szCs w:val="20"/>
          </w:rPr>
          <w:t>https://op.europa.eu/en/publication-detail/-/publication/8a32ccc3-0f83-11ec-9151-01aa75ed71a1/language-en</w:t>
        </w:r>
      </w:hyperlink>
    </w:p>
    <w:p w:rsidR="00590EDE" w:rsidRPr="00590EDE" w:rsidRDefault="00590EDE" w:rsidP="00590EDE">
      <w:pPr>
        <w:spacing w:after="0"/>
        <w:jc w:val="both"/>
        <w:rPr>
          <w:rFonts w:ascii="Arial" w:hAnsi="Arial" w:cs="Arial"/>
          <w:sz w:val="20"/>
          <w:szCs w:val="20"/>
        </w:rPr>
      </w:pPr>
      <w:r w:rsidRPr="00590EDE">
        <w:rPr>
          <w:rFonts w:ascii="Arial" w:hAnsi="Arial" w:cs="Arial"/>
          <w:sz w:val="20"/>
          <w:szCs w:val="20"/>
        </w:rPr>
        <w:t>Pripravila:</w:t>
      </w:r>
    </w:p>
    <w:p w:rsidR="00590EDE" w:rsidRPr="00590EDE" w:rsidRDefault="00590EDE" w:rsidP="00590EDE">
      <w:pPr>
        <w:spacing w:after="0"/>
        <w:jc w:val="both"/>
        <w:rPr>
          <w:rFonts w:ascii="Arial" w:hAnsi="Arial" w:cs="Arial"/>
          <w:sz w:val="20"/>
          <w:szCs w:val="20"/>
        </w:rPr>
      </w:pPr>
      <w:r w:rsidRPr="00590EDE">
        <w:rPr>
          <w:rFonts w:ascii="Arial" w:hAnsi="Arial" w:cs="Arial"/>
          <w:sz w:val="20"/>
          <w:szCs w:val="20"/>
        </w:rPr>
        <w:t>Darja Kocbek</w:t>
      </w:r>
    </w:p>
    <w:sectPr w:rsidR="00590EDE" w:rsidRPr="00590EDE" w:rsidSect="00E11D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337197"/>
    <w:multiLevelType w:val="hybridMultilevel"/>
    <w:tmpl w:val="F6F0DF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DC1D1D"/>
    <w:rsid w:val="00590EDE"/>
    <w:rsid w:val="009A7059"/>
    <w:rsid w:val="00A0446C"/>
    <w:rsid w:val="00B35A43"/>
    <w:rsid w:val="00DC1D1D"/>
    <w:rsid w:val="00E11DD6"/>
    <w:rsid w:val="00F3068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11DD6"/>
  </w:style>
  <w:style w:type="paragraph" w:styleId="Naslov2">
    <w:name w:val="heading 2"/>
    <w:basedOn w:val="Navaden"/>
    <w:link w:val="Naslov2Znak"/>
    <w:uiPriority w:val="9"/>
    <w:qFormat/>
    <w:rsid w:val="00F30688"/>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A0446C"/>
    <w:rPr>
      <w:color w:val="0000FF" w:themeColor="hyperlink"/>
      <w:u w:val="single"/>
    </w:rPr>
  </w:style>
  <w:style w:type="paragraph" w:styleId="Odstavekseznama">
    <w:name w:val="List Paragraph"/>
    <w:basedOn w:val="Navaden"/>
    <w:uiPriority w:val="34"/>
    <w:qFormat/>
    <w:rsid w:val="00590EDE"/>
    <w:pPr>
      <w:ind w:left="720"/>
      <w:contextualSpacing/>
    </w:pPr>
  </w:style>
  <w:style w:type="character" w:customStyle="1" w:styleId="Naslov2Znak">
    <w:name w:val="Naslov 2 Znak"/>
    <w:basedOn w:val="Privzetapisavaodstavka"/>
    <w:link w:val="Naslov2"/>
    <w:uiPriority w:val="9"/>
    <w:rsid w:val="00F30688"/>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F3068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306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business-economy-euro/doing-business-eu/contract-rules/digital-contracts/liability-rules-artificial-intelligence_en" TargetMode="External"/><Relationship Id="rId13" Type="http://schemas.openxmlformats.org/officeDocument/2006/relationships/hyperlink" Target="https://op.europa.eu/en/publication-detail/-/publication/8a32ccc3-0f83-11ec-9151-01aa75ed71a1/language-en" TargetMode="External"/><Relationship Id="rId3" Type="http://schemas.openxmlformats.org/officeDocument/2006/relationships/settings" Target="settings.xml"/><Relationship Id="rId7" Type="http://schemas.openxmlformats.org/officeDocument/2006/relationships/hyperlink" Target="https://single-market-economy.ec.europa.eu/document/3193da9a-cecb-44ad-9a9c-7b6b23220bcd_sl" TargetMode="External"/><Relationship Id="rId12" Type="http://schemas.openxmlformats.org/officeDocument/2006/relationships/hyperlink" Target="https://op.europa.eu/en/publication-detail/-/publication/1c5e30be-1197-11ea-8c1f-01aa75ed71a1/language-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files/proposal-directive-adapting-non-contractual-civil-liability-rules-artificial-intelligence_sl" TargetMode="External"/><Relationship Id="rId11" Type="http://schemas.openxmlformats.org/officeDocument/2006/relationships/hyperlink" Target="https://eur-lex.europa.eu/legal-content/SL/TXT/HTML/?uri=CELEX:52020DC0064&amp;from=en"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eur-lex.europa.eu/legal-content/SL/TXT/HTML/?uri=CELEX:52020DC0065&amp;from=EN" TargetMode="External"/><Relationship Id="rId4" Type="http://schemas.openxmlformats.org/officeDocument/2006/relationships/webSettings" Target="webSettings.xml"/><Relationship Id="rId9" Type="http://schemas.openxmlformats.org/officeDocument/2006/relationships/hyperlink" Target="https://single-market-economy.ec.europa.eu/single-market/goods/free-movement-sectors/liability-defective-products_en"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711</Words>
  <Characters>4053</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4755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2022-09-28T17:06:00Z</dcterms:created>
  <dcterms:modified xsi:type="dcterms:W3CDTF">2022-09-28T18:12:00Z</dcterms:modified>
</cp:coreProperties>
</file>