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B1" w:rsidRPr="00F973D8" w:rsidRDefault="00BC32B1" w:rsidP="00BC32B1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2B1" w:rsidRPr="00F973D8" w:rsidRDefault="00BC32B1" w:rsidP="00BC32B1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BC32B1" w:rsidRPr="00F973D8" w:rsidRDefault="00BC32B1" w:rsidP="00BC32B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C32B1" w:rsidRPr="000E0C5F" w:rsidRDefault="004D71CE" w:rsidP="00BC32B1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14</w:t>
      </w:r>
      <w:bookmarkStart w:id="0" w:name="_GoBack"/>
      <w:bookmarkEnd w:id="0"/>
      <w:r w:rsidR="00BC32B1" w:rsidRPr="000E0C5F">
        <w:rPr>
          <w:rFonts w:ascii="Arial" w:hAnsi="Arial" w:cs="Arial"/>
          <w:b/>
        </w:rPr>
        <w:t xml:space="preserve"> – 2018</w:t>
      </w:r>
    </w:p>
    <w:p w:rsidR="00BC32B1" w:rsidRPr="000E0C5F" w:rsidRDefault="00BC32B1" w:rsidP="00BC32B1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Pr="000E0C5F">
        <w:rPr>
          <w:rFonts w:ascii="Arial" w:hAnsi="Arial" w:cs="Arial"/>
          <w:b/>
        </w:rPr>
        <w:t>. januar 2018</w:t>
      </w:r>
    </w:p>
    <w:p w:rsidR="00BC32B1" w:rsidRDefault="00BC32B1" w:rsidP="00BC32B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Evropska strategija za plastične odpadke</w:t>
      </w:r>
    </w:p>
    <w:p w:rsidR="00447DBD" w:rsidRPr="001D38EA" w:rsidRDefault="007D3EEC" w:rsidP="001D38EA">
      <w:pPr>
        <w:rPr>
          <w:rFonts w:ascii="Arial" w:hAnsi="Arial" w:cs="Arial"/>
          <w:b/>
          <w:i/>
        </w:rPr>
      </w:pPr>
      <w:r w:rsidRPr="001D38EA">
        <w:rPr>
          <w:rFonts w:ascii="Arial" w:hAnsi="Arial" w:cs="Arial"/>
          <w:b/>
          <w:i/>
        </w:rPr>
        <w:t>Evropska komisija je predstavila strategijo za plastične odpadke</w:t>
      </w:r>
      <w:r w:rsidR="00BC32B1">
        <w:rPr>
          <w:rFonts w:ascii="Arial" w:hAnsi="Arial" w:cs="Arial"/>
          <w:b/>
          <w:i/>
        </w:rPr>
        <w:t>, ki bo</w:t>
      </w:r>
      <w:r w:rsidRPr="001D38EA">
        <w:rPr>
          <w:rFonts w:ascii="Arial" w:hAnsi="Arial" w:cs="Arial"/>
          <w:b/>
          <w:i/>
        </w:rPr>
        <w:t xml:space="preserve"> podlaga za pripravo novih predpisov o embalaži s ciljem izboljšati možnosti za reciklažo plastike. Razvoju pametnejših plastičnih materialov, ki jih je mogoče bolje reciklirati, bo namenjenih dodatnih sto milijonov evrov.</w:t>
      </w:r>
      <w:r w:rsidR="00BC32B1">
        <w:rPr>
          <w:rFonts w:ascii="Arial" w:hAnsi="Arial" w:cs="Arial"/>
          <w:b/>
          <w:i/>
        </w:rPr>
        <w:t xml:space="preserve"> </w:t>
      </w:r>
      <w:r w:rsidRPr="001D38EA">
        <w:rPr>
          <w:rFonts w:ascii="Arial" w:hAnsi="Arial" w:cs="Arial"/>
          <w:b/>
          <w:i/>
        </w:rPr>
        <w:t xml:space="preserve">Odpadke, ki nastajajo na ladjah ali se zajamejo na morju, naj ne bi več puščali v morju, temveč bi jih bilo treba dostaviti na kopno in ustrezno odložiti. Evropska komisija namerava </w:t>
      </w:r>
      <w:r w:rsidR="00447DBD" w:rsidRPr="001D38EA">
        <w:rPr>
          <w:rFonts w:ascii="Arial" w:hAnsi="Arial" w:cs="Arial"/>
          <w:b/>
          <w:i/>
        </w:rPr>
        <w:t xml:space="preserve">zato </w:t>
      </w:r>
      <w:r w:rsidRPr="001D38EA">
        <w:rPr>
          <w:rFonts w:ascii="Arial" w:hAnsi="Arial" w:cs="Arial"/>
          <w:b/>
          <w:i/>
        </w:rPr>
        <w:t xml:space="preserve">pripraviti tudi ukrepe za zmanjšanje upravne obremenitve za pristanišča, ladje in pristojne organe. </w:t>
      </w:r>
    </w:p>
    <w:p w:rsidR="00447DBD" w:rsidRPr="001D38EA" w:rsidRDefault="00447DBD" w:rsidP="001D38EA">
      <w:pPr>
        <w:rPr>
          <w:rFonts w:ascii="Arial" w:hAnsi="Arial" w:cs="Arial"/>
          <w:sz w:val="20"/>
          <w:szCs w:val="20"/>
        </w:rPr>
      </w:pPr>
      <w:r w:rsidRPr="001D38EA">
        <w:rPr>
          <w:rFonts w:ascii="Arial" w:hAnsi="Arial" w:cs="Arial"/>
          <w:sz w:val="20"/>
          <w:szCs w:val="20"/>
        </w:rPr>
        <w:t>Predlog nove direktive o pristaniških sprejemnih zmogljivostih je Evropska komisija že predložila Evropskemu parlamentu in Svetu EU, ki med evropskimi institucijami predstavlja države članice, v obravnavo in sprejetje. Predlog o plastiki za enkratno uporabo pa bo predložila do konca leta. Letos namerava začeti revidirati direktivo</w:t>
      </w:r>
      <w:r w:rsidR="00BC32B1">
        <w:rPr>
          <w:rFonts w:ascii="Arial" w:hAnsi="Arial" w:cs="Arial"/>
          <w:sz w:val="20"/>
          <w:szCs w:val="20"/>
        </w:rPr>
        <w:t xml:space="preserve"> o embalaži in odpadni embalaži, </w:t>
      </w:r>
      <w:r w:rsidRPr="001D38EA">
        <w:rPr>
          <w:rFonts w:ascii="Arial" w:hAnsi="Arial" w:cs="Arial"/>
          <w:sz w:val="20"/>
          <w:szCs w:val="20"/>
        </w:rPr>
        <w:t xml:space="preserve">leta 2019 </w:t>
      </w:r>
      <w:r w:rsidR="00BC32B1">
        <w:rPr>
          <w:rFonts w:ascii="Arial" w:hAnsi="Arial" w:cs="Arial"/>
          <w:sz w:val="20"/>
          <w:szCs w:val="20"/>
        </w:rPr>
        <w:t xml:space="preserve">nato namerava </w:t>
      </w:r>
      <w:r w:rsidRPr="001D38EA">
        <w:rPr>
          <w:rFonts w:ascii="Arial" w:hAnsi="Arial" w:cs="Arial"/>
          <w:sz w:val="20"/>
          <w:szCs w:val="20"/>
        </w:rPr>
        <w:t>izdati smernice o ločenem zbiranju in sortiranju odpadkov.</w:t>
      </w:r>
    </w:p>
    <w:p w:rsidR="00447DBD" w:rsidRPr="001D38EA" w:rsidRDefault="00447DBD" w:rsidP="001D38EA">
      <w:pPr>
        <w:rPr>
          <w:rFonts w:ascii="Arial" w:hAnsi="Arial" w:cs="Arial"/>
          <w:sz w:val="20"/>
          <w:szCs w:val="20"/>
        </w:rPr>
      </w:pPr>
      <w:r w:rsidRPr="001D38EA">
        <w:rPr>
          <w:rFonts w:ascii="Arial" w:hAnsi="Arial" w:cs="Arial"/>
          <w:sz w:val="20"/>
          <w:szCs w:val="20"/>
        </w:rPr>
        <w:t>S strategijo za plastiko je Evropska komisija sprejela sporočilo o evropski strategiji za plastiko v krožnem gospodarstvu, sporočilo o stičišču med kemikalijami, proizvodi in odpadki, okvir za spremljanje krožnega gospodarstva, predlog direktive o pristaniških sprejemnih zmogljivostih, poročilo o kritičnih surovinah in poročilo o okso-plastiki.</w:t>
      </w:r>
    </w:p>
    <w:p w:rsidR="00447DBD" w:rsidRPr="00BC32B1" w:rsidRDefault="00447DBD" w:rsidP="001D38EA">
      <w:pPr>
        <w:rPr>
          <w:rFonts w:ascii="Arial" w:hAnsi="Arial" w:cs="Arial"/>
          <w:b/>
          <w:sz w:val="20"/>
          <w:szCs w:val="20"/>
        </w:rPr>
      </w:pPr>
      <w:r w:rsidRPr="00BC32B1">
        <w:rPr>
          <w:rFonts w:ascii="Arial" w:hAnsi="Arial" w:cs="Arial"/>
          <w:b/>
          <w:sz w:val="20"/>
          <w:szCs w:val="20"/>
        </w:rPr>
        <w:t>Koristne informacije:</w:t>
      </w:r>
    </w:p>
    <w:p w:rsidR="00447DBD" w:rsidRPr="00BC32B1" w:rsidRDefault="00447DBD" w:rsidP="00BC32B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C32B1">
        <w:rPr>
          <w:rFonts w:ascii="Arial" w:hAnsi="Arial" w:cs="Arial"/>
          <w:sz w:val="20"/>
          <w:szCs w:val="20"/>
        </w:rPr>
        <w:t>Strategija za plastiko:</w:t>
      </w:r>
    </w:p>
    <w:p w:rsidR="00447DBD" w:rsidRPr="00BC32B1" w:rsidRDefault="004D71CE" w:rsidP="00BC32B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447DBD" w:rsidRPr="00BC32B1">
          <w:rPr>
            <w:rStyle w:val="Hyperlink"/>
            <w:rFonts w:ascii="Arial" w:hAnsi="Arial" w:cs="Arial"/>
            <w:sz w:val="20"/>
            <w:szCs w:val="20"/>
          </w:rPr>
          <w:t>http://ec.europa.eu/environment/circular-economy/pdf/plastics-strategy.pdf</w:t>
        </w:r>
      </w:hyperlink>
    </w:p>
    <w:p w:rsidR="00447DBD" w:rsidRPr="00BC32B1" w:rsidRDefault="00447DBD" w:rsidP="00BC32B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C32B1">
        <w:rPr>
          <w:rFonts w:ascii="Arial" w:hAnsi="Arial" w:cs="Arial"/>
          <w:sz w:val="20"/>
          <w:szCs w:val="20"/>
        </w:rPr>
        <w:t>Sporočilo o implementaciji ukrepov za prehod na krožno gospodarstvo:</w:t>
      </w:r>
    </w:p>
    <w:p w:rsidR="00447DBD" w:rsidRPr="00BC32B1" w:rsidRDefault="004D71CE" w:rsidP="00BC32B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447DBD" w:rsidRPr="00BC32B1">
          <w:rPr>
            <w:rStyle w:val="Hyperlink"/>
            <w:rFonts w:ascii="Arial" w:hAnsi="Arial" w:cs="Arial"/>
            <w:sz w:val="20"/>
            <w:szCs w:val="20"/>
          </w:rPr>
          <w:t>https://ec.europa.eu/docsroom/documents/27321</w:t>
        </w:r>
      </w:hyperlink>
    </w:p>
    <w:p w:rsidR="00447DBD" w:rsidRPr="00BC32B1" w:rsidRDefault="00447DBD" w:rsidP="00BC32B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C32B1">
        <w:rPr>
          <w:rFonts w:ascii="Arial" w:hAnsi="Arial" w:cs="Arial"/>
          <w:sz w:val="20"/>
          <w:szCs w:val="20"/>
        </w:rPr>
        <w:t>Sporočilo o okviru za monitoring prehoda na krožno gospodarstvo:</w:t>
      </w:r>
    </w:p>
    <w:p w:rsidR="00447DBD" w:rsidRPr="00BC32B1" w:rsidRDefault="004D71CE" w:rsidP="00BC32B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447DBD" w:rsidRPr="00BC32B1">
          <w:rPr>
            <w:rStyle w:val="Hyperlink"/>
            <w:rFonts w:ascii="Arial" w:hAnsi="Arial" w:cs="Arial"/>
            <w:sz w:val="20"/>
            <w:szCs w:val="20"/>
          </w:rPr>
          <w:t>http://ec.europa.eu/environment/circular-economy/pdf/monitoring-framework.pdf</w:t>
        </w:r>
      </w:hyperlink>
    </w:p>
    <w:p w:rsidR="00447DBD" w:rsidRPr="00BC32B1" w:rsidRDefault="00447DBD" w:rsidP="00BC32B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C32B1">
        <w:rPr>
          <w:rFonts w:ascii="Arial" w:hAnsi="Arial" w:cs="Arial"/>
          <w:sz w:val="20"/>
          <w:szCs w:val="20"/>
        </w:rPr>
        <w:t>Predlog direktive o pristaniških sprejemnih zmogljivostih:</w:t>
      </w:r>
    </w:p>
    <w:p w:rsidR="00447DBD" w:rsidRPr="00BC32B1" w:rsidRDefault="004D71CE" w:rsidP="00BC32B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="00447DBD" w:rsidRPr="00BC32B1">
          <w:rPr>
            <w:rStyle w:val="Hyperlink"/>
            <w:rFonts w:ascii="Arial" w:hAnsi="Arial" w:cs="Arial"/>
            <w:sz w:val="20"/>
            <w:szCs w:val="20"/>
          </w:rPr>
          <w:t>https://ec.europa.eu/transport/sites/transport/files/legislation/com2018-0033-port-reception-facilities.pdf</w:t>
        </w:r>
      </w:hyperlink>
      <w:r w:rsidR="00447DBD" w:rsidRPr="00BC32B1">
        <w:rPr>
          <w:rFonts w:ascii="Arial" w:hAnsi="Arial" w:cs="Arial"/>
          <w:sz w:val="20"/>
          <w:szCs w:val="20"/>
        </w:rPr>
        <w:t xml:space="preserve"> </w:t>
      </w:r>
    </w:p>
    <w:p w:rsidR="00447DBD" w:rsidRPr="00BC32B1" w:rsidRDefault="00447DBD" w:rsidP="00BC32B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C32B1">
        <w:rPr>
          <w:rFonts w:ascii="Arial" w:hAnsi="Arial" w:cs="Arial"/>
          <w:sz w:val="20"/>
          <w:szCs w:val="20"/>
        </w:rPr>
        <w:t>Poročilo o okso-plastiki:</w:t>
      </w:r>
    </w:p>
    <w:p w:rsidR="00447DBD" w:rsidRPr="00BC32B1" w:rsidRDefault="004D71CE" w:rsidP="00BC32B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1" w:history="1">
        <w:r w:rsidR="00447DBD" w:rsidRPr="00BC32B1">
          <w:rPr>
            <w:rStyle w:val="Hyperlink"/>
            <w:rFonts w:ascii="Arial" w:hAnsi="Arial" w:cs="Arial"/>
            <w:sz w:val="20"/>
            <w:szCs w:val="20"/>
          </w:rPr>
          <w:t>http://ec.europa.eu/environment/circular-economy/pdf/oxo-plastics.pdf</w:t>
        </w:r>
      </w:hyperlink>
    </w:p>
    <w:p w:rsidR="001D38EA" w:rsidRPr="00BC32B1" w:rsidRDefault="001D38EA" w:rsidP="00BC32B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C32B1">
        <w:rPr>
          <w:rFonts w:ascii="Arial" w:hAnsi="Arial" w:cs="Arial"/>
          <w:sz w:val="20"/>
          <w:szCs w:val="20"/>
        </w:rPr>
        <w:t>Poročilo o kritičnih surovinah:</w:t>
      </w:r>
    </w:p>
    <w:p w:rsidR="001D38EA" w:rsidRPr="00BC32B1" w:rsidRDefault="004D71CE" w:rsidP="00BC32B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2" w:history="1">
        <w:r w:rsidR="001D38EA" w:rsidRPr="00BC32B1">
          <w:rPr>
            <w:rStyle w:val="Hyperlink"/>
            <w:rFonts w:ascii="Arial" w:hAnsi="Arial" w:cs="Arial"/>
            <w:sz w:val="20"/>
            <w:szCs w:val="20"/>
          </w:rPr>
          <w:t>https://ec.europa.eu/commission/publications/report-critical-raw-materials-and-circular-economy_en</w:t>
        </w:r>
      </w:hyperlink>
    </w:p>
    <w:p w:rsidR="001D38EA" w:rsidRPr="001D38EA" w:rsidRDefault="001D38EA" w:rsidP="001D38EA">
      <w:pPr>
        <w:rPr>
          <w:rFonts w:ascii="Arial" w:hAnsi="Arial" w:cs="Arial"/>
          <w:sz w:val="20"/>
          <w:szCs w:val="20"/>
        </w:rPr>
      </w:pPr>
      <w:r w:rsidRPr="001D38EA">
        <w:rPr>
          <w:rFonts w:ascii="Arial" w:hAnsi="Arial" w:cs="Arial"/>
          <w:sz w:val="20"/>
          <w:szCs w:val="20"/>
        </w:rPr>
        <w:t>Pripravila:</w:t>
      </w:r>
      <w:r w:rsidR="00BC32B1">
        <w:rPr>
          <w:rFonts w:ascii="Arial" w:hAnsi="Arial" w:cs="Arial"/>
          <w:sz w:val="20"/>
          <w:szCs w:val="20"/>
        </w:rPr>
        <w:t xml:space="preserve"> </w:t>
      </w:r>
      <w:r w:rsidRPr="001D38EA">
        <w:rPr>
          <w:rFonts w:ascii="Arial" w:hAnsi="Arial" w:cs="Arial"/>
          <w:sz w:val="20"/>
          <w:szCs w:val="20"/>
        </w:rPr>
        <w:t>Darja Kocbek</w:t>
      </w:r>
    </w:p>
    <w:p w:rsidR="00447DBD" w:rsidRDefault="00447DBD" w:rsidP="00447DBD">
      <w:pPr>
        <w:pStyle w:val="NormalWeb"/>
      </w:pPr>
    </w:p>
    <w:p w:rsidR="00B459D4" w:rsidRDefault="007D3EEC">
      <w:r>
        <w:t xml:space="preserve"> </w:t>
      </w:r>
    </w:p>
    <w:sectPr w:rsidR="00B459D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02D9"/>
    <w:multiLevelType w:val="hybridMultilevel"/>
    <w:tmpl w:val="C1BE0A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3EEC"/>
    <w:rsid w:val="001D38EA"/>
    <w:rsid w:val="00447DBD"/>
    <w:rsid w:val="004D71CE"/>
    <w:rsid w:val="006B3611"/>
    <w:rsid w:val="007D3EEC"/>
    <w:rsid w:val="00B459D4"/>
    <w:rsid w:val="00B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2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3EEC"/>
    <w:pPr>
      <w:spacing w:before="100" w:before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3EEC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447DB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447D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32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C3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C32B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2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ocsroom/documents/2732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c.europa.eu/environment/circular-economy/pdf/plastics-strategy.pdf" TargetMode="External"/><Relationship Id="rId12" Type="http://schemas.openxmlformats.org/officeDocument/2006/relationships/hyperlink" Target="https://ec.europa.eu/commission/publications/report-critical-raw-materials-and-circular-economy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c.europa.eu/environment/circular-economy/pdf/oxo-plastic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transport/sites/transport/files/legislation/com2018-0033-port-reception-faciliti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environment/circular-economy/pdf/monitoring-framework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3</cp:revision>
  <dcterms:created xsi:type="dcterms:W3CDTF">2018-01-16T15:33:00Z</dcterms:created>
  <dcterms:modified xsi:type="dcterms:W3CDTF">2018-01-18T12:33:00Z</dcterms:modified>
</cp:coreProperties>
</file>