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07" w:rsidRPr="00467345" w:rsidRDefault="00253E07" w:rsidP="00253E0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E07" w:rsidRPr="00083714" w:rsidRDefault="00253E07" w:rsidP="00253E07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53E07" w:rsidRPr="00083714" w:rsidRDefault="00253E07" w:rsidP="00253E07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253E07" w:rsidRDefault="00253E07" w:rsidP="00253E07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</w:t>
      </w:r>
      <w:r w:rsidR="00FD19DD">
        <w:rPr>
          <w:b/>
        </w:rPr>
        <w:t>4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22</w:t>
      </w:r>
    </w:p>
    <w:p w:rsidR="00253E07" w:rsidRPr="0084452F" w:rsidRDefault="00253E07" w:rsidP="00253E07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24. januar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253E07" w:rsidRDefault="00253E07" w:rsidP="00253E0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sprejela dve pobudi za področje visokošolskega izobraževanja</w:t>
      </w:r>
    </w:p>
    <w:p w:rsidR="00F25EEE" w:rsidRPr="00BC58F8" w:rsidRDefault="00DB0D34" w:rsidP="00BC58F8">
      <w:pPr>
        <w:jc w:val="both"/>
        <w:rPr>
          <w:rFonts w:ascii="Arial" w:hAnsi="Arial" w:cs="Arial"/>
          <w:b/>
          <w:i/>
        </w:rPr>
      </w:pPr>
      <w:r w:rsidRPr="00BC58F8">
        <w:rPr>
          <w:rFonts w:ascii="Arial" w:hAnsi="Arial" w:cs="Arial"/>
          <w:b/>
          <w:i/>
        </w:rPr>
        <w:t>Evropska komisija</w:t>
      </w:r>
      <w:r w:rsidR="00F25EEE" w:rsidRPr="00BC58F8">
        <w:rPr>
          <w:rFonts w:ascii="Arial" w:hAnsi="Arial" w:cs="Arial"/>
          <w:b/>
          <w:i/>
        </w:rPr>
        <w:t xml:space="preserve"> je sprejela</w:t>
      </w:r>
      <w:r w:rsidRPr="00BC58F8">
        <w:rPr>
          <w:rFonts w:ascii="Arial" w:hAnsi="Arial" w:cs="Arial"/>
          <w:b/>
          <w:i/>
        </w:rPr>
        <w:t xml:space="preserve"> evropsk</w:t>
      </w:r>
      <w:r w:rsidR="00F25EEE" w:rsidRPr="00BC58F8">
        <w:rPr>
          <w:rFonts w:ascii="Arial" w:hAnsi="Arial" w:cs="Arial"/>
          <w:b/>
          <w:i/>
        </w:rPr>
        <w:t>o</w:t>
      </w:r>
      <w:r w:rsidRPr="00BC58F8">
        <w:rPr>
          <w:rFonts w:ascii="Arial" w:hAnsi="Arial" w:cs="Arial"/>
          <w:b/>
          <w:i/>
        </w:rPr>
        <w:t xml:space="preserve"> strategij</w:t>
      </w:r>
      <w:r w:rsidR="00F25EEE" w:rsidRPr="00BC58F8">
        <w:rPr>
          <w:rFonts w:ascii="Arial" w:hAnsi="Arial" w:cs="Arial"/>
          <w:b/>
          <w:i/>
        </w:rPr>
        <w:t>o</w:t>
      </w:r>
      <w:r w:rsidRPr="00BC58F8">
        <w:rPr>
          <w:rFonts w:ascii="Arial" w:hAnsi="Arial" w:cs="Arial"/>
          <w:b/>
          <w:i/>
        </w:rPr>
        <w:t xml:space="preserve"> o univerzah in predlog za vzpostav</w:t>
      </w:r>
      <w:r w:rsidR="00EE5975" w:rsidRPr="00BC58F8">
        <w:rPr>
          <w:rFonts w:ascii="Arial" w:hAnsi="Arial" w:cs="Arial"/>
          <w:b/>
          <w:i/>
        </w:rPr>
        <w:t>itev</w:t>
      </w:r>
      <w:r w:rsidRPr="00BC58F8">
        <w:rPr>
          <w:rFonts w:ascii="Arial" w:hAnsi="Arial" w:cs="Arial"/>
          <w:b/>
          <w:i/>
        </w:rPr>
        <w:t xml:space="preserve"> povezav za učinkovito evropsko sodelovanje na področju visokošolskega izobraževanja</w:t>
      </w:r>
      <w:r w:rsidR="00F25EEE" w:rsidRPr="00BC58F8">
        <w:rPr>
          <w:rFonts w:ascii="Arial" w:hAnsi="Arial" w:cs="Arial"/>
          <w:b/>
          <w:i/>
        </w:rPr>
        <w:t>. Namen obeh pobud je podpreti</w:t>
      </w:r>
      <w:r w:rsidRPr="00BC58F8">
        <w:rPr>
          <w:rFonts w:ascii="Arial" w:hAnsi="Arial" w:cs="Arial"/>
          <w:b/>
          <w:i/>
        </w:rPr>
        <w:t xml:space="preserve"> univerze pri oblikovanju trajnostnega in odpornega gospodarstva ter bolj zelene, vključujoče in digitalne Evrope. </w:t>
      </w:r>
      <w:r w:rsidR="00F25EEE" w:rsidRPr="00BC58F8">
        <w:rPr>
          <w:rFonts w:ascii="Arial" w:hAnsi="Arial" w:cs="Arial"/>
          <w:b/>
          <w:i/>
        </w:rPr>
        <w:t>Namen strategije o univerzah je podpreti univerze v Evropi in jim omogočiti, da se prilagodijo spreminjajočim se razmeram, prispevajo k odpornosti in okrevanju Evrope.  Namen predloga za sodelovanje je visokošolskim institucijam omogočiti tesnejše in globlje sodelovanje, združevanje zmogljivosti in virov ali podeljevanje skupnih diplom.</w:t>
      </w:r>
    </w:p>
    <w:p w:rsidR="00DB0D34" w:rsidRPr="00BC58F8" w:rsidRDefault="000C2339" w:rsidP="00BC58F8">
      <w:pPr>
        <w:jc w:val="both"/>
        <w:rPr>
          <w:rFonts w:ascii="Arial" w:hAnsi="Arial" w:cs="Arial"/>
          <w:b/>
          <w:sz w:val="20"/>
          <w:szCs w:val="20"/>
        </w:rPr>
      </w:pPr>
      <w:r w:rsidRPr="00BC58F8">
        <w:rPr>
          <w:rFonts w:ascii="Arial" w:hAnsi="Arial" w:cs="Arial"/>
          <w:b/>
          <w:sz w:val="20"/>
          <w:szCs w:val="20"/>
        </w:rPr>
        <w:t>Strategija o univerzah</w:t>
      </w:r>
    </w:p>
    <w:p w:rsidR="000C2339" w:rsidRPr="00BC58F8" w:rsidRDefault="0024153D" w:rsidP="00BC58F8">
      <w:pPr>
        <w:jc w:val="both"/>
        <w:rPr>
          <w:rFonts w:ascii="Arial" w:hAnsi="Arial" w:cs="Arial"/>
          <w:b/>
          <w:sz w:val="20"/>
          <w:szCs w:val="20"/>
        </w:rPr>
      </w:pPr>
      <w:r w:rsidRPr="00BC58F8">
        <w:rPr>
          <w:rFonts w:ascii="Arial" w:hAnsi="Arial" w:cs="Arial"/>
          <w:b/>
          <w:sz w:val="20"/>
          <w:szCs w:val="20"/>
        </w:rPr>
        <w:t>Tabela 1: Štirje cilji, ki naj bi jih podprli ukrepi, navedeni v strategiji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24153D" w:rsidRPr="00BC58F8" w:rsidTr="0024153D">
        <w:tc>
          <w:tcPr>
            <w:tcW w:w="9212" w:type="dxa"/>
          </w:tcPr>
          <w:p w:rsidR="0024153D" w:rsidRPr="00BC58F8" w:rsidRDefault="0024153D" w:rsidP="00BC58F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58F8">
              <w:rPr>
                <w:rFonts w:ascii="Arial" w:hAnsi="Arial" w:cs="Arial"/>
                <w:b/>
                <w:sz w:val="20"/>
                <w:szCs w:val="20"/>
              </w:rPr>
              <w:t>Cilji</w:t>
            </w:r>
          </w:p>
        </w:tc>
      </w:tr>
      <w:tr w:rsidR="0024153D" w:rsidRPr="00BC58F8" w:rsidTr="0024153D">
        <w:tc>
          <w:tcPr>
            <w:tcW w:w="9212" w:type="dxa"/>
          </w:tcPr>
          <w:p w:rsidR="0024153D" w:rsidRPr="00BC58F8" w:rsidRDefault="0024153D" w:rsidP="00BC58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8F8">
              <w:rPr>
                <w:rFonts w:ascii="Arial" w:hAnsi="Arial" w:cs="Arial"/>
                <w:sz w:val="20"/>
                <w:szCs w:val="20"/>
              </w:rPr>
              <w:t>krepitev evropske razsežnosti visokošolskega izobraževanja in raziskav</w:t>
            </w:r>
          </w:p>
        </w:tc>
      </w:tr>
      <w:tr w:rsidR="0024153D" w:rsidRPr="00BC58F8" w:rsidTr="0024153D">
        <w:tc>
          <w:tcPr>
            <w:tcW w:w="9212" w:type="dxa"/>
          </w:tcPr>
          <w:p w:rsidR="0024153D" w:rsidRPr="00BC58F8" w:rsidRDefault="0024153D" w:rsidP="00BC58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8F8">
              <w:rPr>
                <w:rFonts w:ascii="Arial" w:hAnsi="Arial" w:cs="Arial"/>
                <w:sz w:val="20"/>
                <w:szCs w:val="20"/>
              </w:rPr>
              <w:t>utrditev univerz kot svetilnikov evropskega načina življenja s podpornimi ukrepi, ki se osredotočajo na akademske in raziskovalne poklicne poti, kakovost in relevantnost znanj in spretnosti, primernih za prihodnost, raznolikost, vključevanje, demokratične prakse, temeljne pravice in akademske vrednote</w:t>
            </w:r>
          </w:p>
        </w:tc>
      </w:tr>
      <w:tr w:rsidR="0024153D" w:rsidRPr="00BC58F8" w:rsidTr="0024153D">
        <w:tc>
          <w:tcPr>
            <w:tcW w:w="9212" w:type="dxa"/>
          </w:tcPr>
          <w:p w:rsidR="0024153D" w:rsidRPr="00BC58F8" w:rsidRDefault="0024153D" w:rsidP="00BC58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58F8">
              <w:rPr>
                <w:rFonts w:ascii="Arial" w:hAnsi="Arial" w:cs="Arial"/>
                <w:sz w:val="20"/>
                <w:szCs w:val="20"/>
              </w:rPr>
              <w:t>opolnomočenje</w:t>
            </w:r>
            <w:proofErr w:type="spellEnd"/>
            <w:r w:rsidRPr="00BC58F8">
              <w:rPr>
                <w:rFonts w:ascii="Arial" w:hAnsi="Arial" w:cs="Arial"/>
                <w:sz w:val="20"/>
                <w:szCs w:val="20"/>
              </w:rPr>
              <w:t xml:space="preserve"> univerz kot ključnih akterjev sprememb v dvojnem zelenem in digitalnem prehodu</w:t>
            </w:r>
          </w:p>
        </w:tc>
      </w:tr>
      <w:tr w:rsidR="0024153D" w:rsidRPr="00BC58F8" w:rsidTr="0024153D">
        <w:tc>
          <w:tcPr>
            <w:tcW w:w="9212" w:type="dxa"/>
          </w:tcPr>
          <w:p w:rsidR="0024153D" w:rsidRPr="00BC58F8" w:rsidRDefault="0024153D" w:rsidP="00BC58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8F8">
              <w:rPr>
                <w:rFonts w:ascii="Arial" w:hAnsi="Arial" w:cs="Arial"/>
                <w:sz w:val="20"/>
                <w:szCs w:val="20"/>
              </w:rPr>
              <w:t>krepitev univerz kot gonilne sile položaja in vodilne vloge EU v svetu</w:t>
            </w:r>
          </w:p>
        </w:tc>
      </w:tr>
    </w:tbl>
    <w:p w:rsidR="00DB0D34" w:rsidRPr="00BC58F8" w:rsidRDefault="0024153D" w:rsidP="00BC58F8">
      <w:pPr>
        <w:jc w:val="both"/>
        <w:rPr>
          <w:rFonts w:ascii="Arial" w:hAnsi="Arial" w:cs="Arial"/>
          <w:sz w:val="20"/>
          <w:szCs w:val="20"/>
        </w:rPr>
      </w:pPr>
      <w:r w:rsidRPr="00BC58F8">
        <w:rPr>
          <w:rFonts w:ascii="Arial" w:hAnsi="Arial" w:cs="Arial"/>
          <w:sz w:val="20"/>
          <w:szCs w:val="20"/>
        </w:rPr>
        <w:t>Vir: Evropska komisija</w:t>
      </w:r>
    </w:p>
    <w:p w:rsidR="009709B1" w:rsidRPr="00BC58F8" w:rsidRDefault="009709B1" w:rsidP="00BC58F8">
      <w:pPr>
        <w:jc w:val="both"/>
        <w:rPr>
          <w:rFonts w:ascii="Arial" w:hAnsi="Arial" w:cs="Arial"/>
          <w:sz w:val="20"/>
          <w:szCs w:val="20"/>
        </w:rPr>
      </w:pPr>
      <w:r w:rsidRPr="00BC58F8">
        <w:rPr>
          <w:rFonts w:ascii="Arial" w:hAnsi="Arial" w:cs="Arial"/>
          <w:sz w:val="20"/>
          <w:szCs w:val="20"/>
        </w:rPr>
        <w:t>Za uresničitev evropske strategije za univerze je ključnega pomena usklajevanje prizadevanj med EU, državami članicami, regijami, civilno družbo in visokošolskim sektorjem.</w:t>
      </w:r>
    </w:p>
    <w:p w:rsidR="00253E07" w:rsidRDefault="00253E07" w:rsidP="00BC58F8">
      <w:pPr>
        <w:jc w:val="both"/>
        <w:rPr>
          <w:rFonts w:ascii="Arial" w:hAnsi="Arial" w:cs="Arial"/>
          <w:b/>
          <w:sz w:val="20"/>
          <w:szCs w:val="20"/>
        </w:rPr>
      </w:pPr>
    </w:p>
    <w:p w:rsidR="00253E07" w:rsidRDefault="00253E07" w:rsidP="00BC58F8">
      <w:pPr>
        <w:jc w:val="both"/>
        <w:rPr>
          <w:rFonts w:ascii="Arial" w:hAnsi="Arial" w:cs="Arial"/>
          <w:b/>
          <w:sz w:val="20"/>
          <w:szCs w:val="20"/>
        </w:rPr>
      </w:pPr>
    </w:p>
    <w:p w:rsidR="00253E07" w:rsidRDefault="00253E07" w:rsidP="00BC58F8">
      <w:pPr>
        <w:jc w:val="both"/>
        <w:rPr>
          <w:rFonts w:ascii="Arial" w:hAnsi="Arial" w:cs="Arial"/>
          <w:b/>
          <w:sz w:val="20"/>
          <w:szCs w:val="20"/>
        </w:rPr>
      </w:pPr>
    </w:p>
    <w:p w:rsidR="00253E07" w:rsidRDefault="00253E07" w:rsidP="00BC58F8">
      <w:pPr>
        <w:jc w:val="both"/>
        <w:rPr>
          <w:rFonts w:ascii="Arial" w:hAnsi="Arial" w:cs="Arial"/>
          <w:b/>
          <w:sz w:val="20"/>
          <w:szCs w:val="20"/>
        </w:rPr>
      </w:pPr>
    </w:p>
    <w:p w:rsidR="0024153D" w:rsidRPr="00BC58F8" w:rsidRDefault="00EE5975" w:rsidP="00BC58F8">
      <w:pPr>
        <w:jc w:val="both"/>
        <w:rPr>
          <w:rFonts w:ascii="Arial" w:hAnsi="Arial" w:cs="Arial"/>
          <w:b/>
          <w:sz w:val="20"/>
          <w:szCs w:val="20"/>
        </w:rPr>
      </w:pPr>
      <w:r w:rsidRPr="00BC58F8">
        <w:rPr>
          <w:rFonts w:ascii="Arial" w:hAnsi="Arial" w:cs="Arial"/>
          <w:b/>
          <w:sz w:val="20"/>
          <w:szCs w:val="20"/>
        </w:rPr>
        <w:lastRenderedPageBreak/>
        <w:t>Predlog za vzpostavitev povezav za učinkovito evropsko sodelovanje na področju visokošolskega izobraževanja</w:t>
      </w:r>
    </w:p>
    <w:p w:rsidR="00554686" w:rsidRPr="00BC58F8" w:rsidRDefault="00EE5975" w:rsidP="00BC58F8">
      <w:pPr>
        <w:jc w:val="both"/>
        <w:rPr>
          <w:rFonts w:ascii="Arial" w:hAnsi="Arial" w:cs="Arial"/>
          <w:b/>
          <w:sz w:val="20"/>
          <w:szCs w:val="20"/>
        </w:rPr>
      </w:pPr>
      <w:r w:rsidRPr="00BC58F8">
        <w:rPr>
          <w:rFonts w:ascii="Arial" w:hAnsi="Arial" w:cs="Arial"/>
          <w:b/>
          <w:sz w:val="20"/>
          <w:szCs w:val="20"/>
        </w:rPr>
        <w:t xml:space="preserve">Tabela 2: Vodilne pobude, ki naj bi do sredine 2024 podprle evropsko razsežnost visokošolskega izobraževanja in raziskav 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EE5975" w:rsidRPr="00BC58F8" w:rsidTr="00EE5975">
        <w:tc>
          <w:tcPr>
            <w:tcW w:w="9212" w:type="dxa"/>
          </w:tcPr>
          <w:p w:rsidR="00EE5975" w:rsidRPr="00BC58F8" w:rsidRDefault="00BC58F8" w:rsidP="00BC58F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58F8">
              <w:rPr>
                <w:rFonts w:ascii="Arial" w:hAnsi="Arial" w:cs="Arial"/>
                <w:b/>
                <w:sz w:val="20"/>
                <w:szCs w:val="20"/>
              </w:rPr>
              <w:t>Vodilne</w:t>
            </w:r>
            <w:r w:rsidR="00EE5975" w:rsidRPr="00BC58F8">
              <w:rPr>
                <w:rFonts w:ascii="Arial" w:hAnsi="Arial" w:cs="Arial"/>
                <w:b/>
                <w:sz w:val="20"/>
                <w:szCs w:val="20"/>
              </w:rPr>
              <w:t xml:space="preserve"> pobud</w:t>
            </w:r>
            <w:r w:rsidRPr="00BC58F8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EE5975" w:rsidRPr="00BC58F8" w:rsidTr="00EE5975">
        <w:tc>
          <w:tcPr>
            <w:tcW w:w="9212" w:type="dxa"/>
          </w:tcPr>
          <w:p w:rsidR="00EE5975" w:rsidRPr="00BC58F8" w:rsidRDefault="00EE5975" w:rsidP="00BC58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8F8">
              <w:rPr>
                <w:rFonts w:ascii="Arial" w:hAnsi="Arial" w:cs="Arial"/>
                <w:sz w:val="20"/>
                <w:szCs w:val="20"/>
              </w:rPr>
              <w:t>Povečati število evropskih visokošolskih ustanov  na 60 do sredine leta 2024</w:t>
            </w:r>
          </w:p>
        </w:tc>
      </w:tr>
      <w:tr w:rsidR="00EE5975" w:rsidRPr="00BC58F8" w:rsidTr="00EE5975">
        <w:tc>
          <w:tcPr>
            <w:tcW w:w="9212" w:type="dxa"/>
          </w:tcPr>
          <w:p w:rsidR="00EE5975" w:rsidRPr="00BC58F8" w:rsidRDefault="00EE5975" w:rsidP="00BC58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8F8">
              <w:rPr>
                <w:rFonts w:ascii="Arial" w:hAnsi="Arial" w:cs="Arial"/>
                <w:sz w:val="20"/>
                <w:szCs w:val="20"/>
              </w:rPr>
              <w:t xml:space="preserve">Oblikovanje pravnega statuta zavezništev visokošolskih institucij, da se jim omogoči združevanje virov, zmogljivosti in prednosti (s pilotnim projektom </w:t>
            </w:r>
            <w:proofErr w:type="spellStart"/>
            <w:r w:rsidRPr="00BC58F8">
              <w:rPr>
                <w:rFonts w:ascii="Arial" w:hAnsi="Arial" w:cs="Arial"/>
                <w:sz w:val="20"/>
                <w:szCs w:val="20"/>
              </w:rPr>
              <w:t>Erasmus</w:t>
            </w:r>
            <w:proofErr w:type="spellEnd"/>
            <w:r w:rsidRPr="00BC58F8">
              <w:rPr>
                <w:rFonts w:ascii="Arial" w:hAnsi="Arial" w:cs="Arial"/>
                <w:sz w:val="20"/>
                <w:szCs w:val="20"/>
              </w:rPr>
              <w:t>+ od leta 2022)</w:t>
            </w:r>
          </w:p>
        </w:tc>
      </w:tr>
      <w:tr w:rsidR="00EE5975" w:rsidRPr="00BC58F8" w:rsidTr="00EE5975">
        <w:tc>
          <w:tcPr>
            <w:tcW w:w="9212" w:type="dxa"/>
          </w:tcPr>
          <w:p w:rsidR="00EE5975" w:rsidRPr="00BC58F8" w:rsidRDefault="009709B1" w:rsidP="00BC58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8F8">
              <w:rPr>
                <w:rFonts w:ascii="Arial" w:hAnsi="Arial" w:cs="Arial"/>
                <w:sz w:val="20"/>
                <w:szCs w:val="20"/>
              </w:rPr>
              <w:t>Prizadevanja za skupno evropsko diplomo za priznavanje vrednosti transnacionalnih izkušenj v visokošolskih kvalifikacijah študentov ter zmanjšanje birokracije pri izvedbi skupnih programov</w:t>
            </w:r>
          </w:p>
        </w:tc>
      </w:tr>
      <w:tr w:rsidR="00EE5975" w:rsidRPr="00BC58F8" w:rsidTr="00EE5975">
        <w:tc>
          <w:tcPr>
            <w:tcW w:w="9212" w:type="dxa"/>
          </w:tcPr>
          <w:p w:rsidR="00EE5975" w:rsidRPr="00BC58F8" w:rsidRDefault="009709B1" w:rsidP="00BC58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8F8">
              <w:rPr>
                <w:rFonts w:ascii="Arial" w:hAnsi="Arial" w:cs="Arial"/>
                <w:sz w:val="20"/>
                <w:szCs w:val="20"/>
              </w:rPr>
              <w:t>Razširitev pobude za evropsko študentsko izkaznico z uvedbo evropskega študentskega identifikatorja, ki bo v letu 2022 na voljo vsem mobilnim študentom, do sredine leta 2024 pa vsem študentom na univerzah v Evropi, da se olajša mobilnost na vseh ravneh</w:t>
            </w:r>
          </w:p>
        </w:tc>
      </w:tr>
    </w:tbl>
    <w:p w:rsidR="00EE5975" w:rsidRPr="00BC58F8" w:rsidRDefault="009709B1" w:rsidP="00BC58F8">
      <w:pPr>
        <w:jc w:val="both"/>
        <w:rPr>
          <w:rFonts w:ascii="Arial" w:hAnsi="Arial" w:cs="Arial"/>
          <w:sz w:val="20"/>
          <w:szCs w:val="20"/>
        </w:rPr>
      </w:pPr>
      <w:r w:rsidRPr="00BC58F8">
        <w:rPr>
          <w:rFonts w:ascii="Arial" w:hAnsi="Arial" w:cs="Arial"/>
          <w:sz w:val="20"/>
          <w:szCs w:val="20"/>
        </w:rPr>
        <w:t>Vir: Evropska komisija</w:t>
      </w:r>
    </w:p>
    <w:p w:rsidR="009709B1" w:rsidRPr="00BC58F8" w:rsidRDefault="009709B1" w:rsidP="00BC58F8">
      <w:pPr>
        <w:jc w:val="both"/>
        <w:rPr>
          <w:rFonts w:ascii="Arial" w:hAnsi="Arial" w:cs="Arial"/>
          <w:b/>
          <w:sz w:val="20"/>
          <w:szCs w:val="20"/>
        </w:rPr>
      </w:pPr>
      <w:r w:rsidRPr="00BC58F8">
        <w:rPr>
          <w:rFonts w:ascii="Arial" w:hAnsi="Arial" w:cs="Arial"/>
          <w:b/>
          <w:sz w:val="20"/>
          <w:szCs w:val="20"/>
        </w:rPr>
        <w:t>Koristne informacije:</w:t>
      </w:r>
    </w:p>
    <w:p w:rsidR="009709B1" w:rsidRPr="00BC58F8" w:rsidRDefault="009709B1" w:rsidP="00BC58F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C58F8">
        <w:rPr>
          <w:rFonts w:ascii="Arial" w:hAnsi="Arial" w:cs="Arial"/>
          <w:sz w:val="20"/>
          <w:szCs w:val="20"/>
        </w:rPr>
        <w:t>Sporočilo Komisije o evropski strategiji za univerze:</w:t>
      </w:r>
    </w:p>
    <w:p w:rsidR="009709B1" w:rsidRPr="00BC58F8" w:rsidRDefault="00D8442F" w:rsidP="00BC58F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9709B1" w:rsidRPr="00BC58F8">
          <w:rPr>
            <w:rStyle w:val="Hiperpovezava"/>
            <w:rFonts w:ascii="Arial" w:hAnsi="Arial" w:cs="Arial"/>
            <w:sz w:val="20"/>
            <w:szCs w:val="20"/>
          </w:rPr>
          <w:t>https://education.ec.europa.eu/sl/node/1900</w:t>
        </w:r>
      </w:hyperlink>
    </w:p>
    <w:p w:rsidR="009709B1" w:rsidRPr="00BC58F8" w:rsidRDefault="0081021C" w:rsidP="00BC58F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C58F8">
        <w:rPr>
          <w:rFonts w:ascii="Arial" w:hAnsi="Arial" w:cs="Arial"/>
          <w:sz w:val="20"/>
          <w:szCs w:val="20"/>
        </w:rPr>
        <w:t>Predlog za učinkovito evropsko sodelovanje na področju visokošolskega izobraževanja:</w:t>
      </w:r>
    </w:p>
    <w:p w:rsidR="0081021C" w:rsidRPr="00BC58F8" w:rsidRDefault="00D8442F" w:rsidP="00BC58F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81021C" w:rsidRPr="00BC58F8">
          <w:rPr>
            <w:rStyle w:val="Hiperpovezava"/>
            <w:rFonts w:ascii="Arial" w:hAnsi="Arial" w:cs="Arial"/>
            <w:sz w:val="20"/>
            <w:szCs w:val="20"/>
          </w:rPr>
          <w:t>https://education.ec.europa.eu/sl/node/1899</w:t>
        </w:r>
      </w:hyperlink>
    </w:p>
    <w:p w:rsidR="0081021C" w:rsidRPr="00BC58F8" w:rsidRDefault="0081021C" w:rsidP="00BC58F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C58F8">
        <w:rPr>
          <w:rFonts w:ascii="Arial" w:hAnsi="Arial" w:cs="Arial"/>
          <w:sz w:val="20"/>
          <w:szCs w:val="20"/>
        </w:rPr>
        <w:t>Sporočilo o uresničitvi evropskega izobraževalnega prostora do leta 2025:</w:t>
      </w:r>
    </w:p>
    <w:p w:rsidR="0081021C" w:rsidRPr="00BC58F8" w:rsidRDefault="00D8442F" w:rsidP="00BC58F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81021C" w:rsidRPr="00BC58F8">
          <w:rPr>
            <w:rStyle w:val="Hiperpovezava"/>
            <w:rFonts w:ascii="Arial" w:hAnsi="Arial" w:cs="Arial"/>
            <w:sz w:val="20"/>
            <w:szCs w:val="20"/>
          </w:rPr>
          <w:t>https://eur-lex.europa.eu/legal-content/SL/TXT/?uri=CELEX:52020DC0625</w:t>
        </w:r>
      </w:hyperlink>
    </w:p>
    <w:p w:rsidR="0081021C" w:rsidRPr="00BC58F8" w:rsidRDefault="0081021C" w:rsidP="00BC58F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C58F8">
        <w:rPr>
          <w:rFonts w:ascii="Arial" w:hAnsi="Arial" w:cs="Arial"/>
          <w:sz w:val="20"/>
          <w:szCs w:val="20"/>
        </w:rPr>
        <w:t>Sporočilo o novem evropskem raziskovalnem prostoru za raziskave in inovacije:</w:t>
      </w:r>
    </w:p>
    <w:p w:rsidR="0081021C" w:rsidRPr="00BC58F8" w:rsidRDefault="00D8442F" w:rsidP="00BC58F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="0081021C" w:rsidRPr="00BC58F8">
          <w:rPr>
            <w:rStyle w:val="Hiperpovezava"/>
            <w:rFonts w:ascii="Arial" w:hAnsi="Arial" w:cs="Arial"/>
            <w:sz w:val="20"/>
            <w:szCs w:val="20"/>
          </w:rPr>
          <w:t>https://eur-lex.europa.eu/legal-content/SL/TXT/?uri=CELEX:52020DC0628</w:t>
        </w:r>
      </w:hyperlink>
    </w:p>
    <w:p w:rsidR="0081021C" w:rsidRPr="00BC58F8" w:rsidRDefault="0081021C" w:rsidP="00253E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58F8">
        <w:rPr>
          <w:rFonts w:ascii="Arial" w:hAnsi="Arial" w:cs="Arial"/>
          <w:sz w:val="20"/>
          <w:szCs w:val="20"/>
        </w:rPr>
        <w:t>Pripravila:</w:t>
      </w:r>
    </w:p>
    <w:p w:rsidR="0081021C" w:rsidRPr="00BC58F8" w:rsidRDefault="0081021C" w:rsidP="00253E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58F8">
        <w:rPr>
          <w:rFonts w:ascii="Arial" w:hAnsi="Arial" w:cs="Arial"/>
          <w:sz w:val="20"/>
          <w:szCs w:val="20"/>
        </w:rPr>
        <w:t>Darja Kocbek</w:t>
      </w:r>
    </w:p>
    <w:sectPr w:rsidR="0081021C" w:rsidRPr="00BC58F8" w:rsidSect="00554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F163D"/>
    <w:multiLevelType w:val="hybridMultilevel"/>
    <w:tmpl w:val="92C4E2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D7EFC"/>
    <w:multiLevelType w:val="multilevel"/>
    <w:tmpl w:val="CF12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D34"/>
    <w:rsid w:val="000C2339"/>
    <w:rsid w:val="0024153D"/>
    <w:rsid w:val="00253E07"/>
    <w:rsid w:val="00554686"/>
    <w:rsid w:val="0081021C"/>
    <w:rsid w:val="009709B1"/>
    <w:rsid w:val="00BC58F8"/>
    <w:rsid w:val="00D8442F"/>
    <w:rsid w:val="00DB0D34"/>
    <w:rsid w:val="00EE5975"/>
    <w:rsid w:val="00F25EEE"/>
    <w:rsid w:val="00FD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5468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53E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2372692123msonormal">
    <w:name w:val="yiv2372692123msonormal"/>
    <w:basedOn w:val="Navaden"/>
    <w:rsid w:val="00DB0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B0D34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0C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-mrea">
    <w:name w:val="Table Grid"/>
    <w:basedOn w:val="Navadnatabela"/>
    <w:uiPriority w:val="59"/>
    <w:rsid w:val="00241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EE5975"/>
    <w:rPr>
      <w:b/>
      <w:bCs/>
    </w:rPr>
  </w:style>
  <w:style w:type="paragraph" w:styleId="Odstavekseznama">
    <w:name w:val="List Paragraph"/>
    <w:basedOn w:val="Navaden"/>
    <w:uiPriority w:val="34"/>
    <w:qFormat/>
    <w:rsid w:val="00BC58F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53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3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L/TXT/?uri=CELEX:52020DC06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ec.europa.eu/sl/node/18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ec.europa.eu/sl/node/19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SL/TXT/?uri=CELEX:52020DC062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2022-01-18T16:41:00Z</dcterms:created>
  <dcterms:modified xsi:type="dcterms:W3CDTF">2022-01-18T17:23:00Z</dcterms:modified>
</cp:coreProperties>
</file>