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574" w:rsidRPr="00467345" w:rsidRDefault="00A00574" w:rsidP="00A00574">
      <w:pPr>
        <w:tabs>
          <w:tab w:val="left" w:pos="2520"/>
          <w:tab w:val="left" w:pos="2700"/>
          <w:tab w:val="left" w:pos="3120"/>
        </w:tabs>
        <w:spacing w:before="240"/>
        <w:jc w:val="center"/>
      </w:pPr>
      <w:r w:rsidRPr="0008371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00574" w:rsidRPr="00301C78" w:rsidRDefault="00A00574" w:rsidP="00A00574">
      <w:pPr>
        <w:pStyle w:val="Naslov2"/>
        <w:tabs>
          <w:tab w:val="left" w:pos="3120"/>
        </w:tabs>
        <w:spacing w:before="0"/>
        <w:jc w:val="center"/>
        <w:rPr>
          <w:sz w:val="22"/>
        </w:rPr>
      </w:pPr>
      <w:r w:rsidRPr="00083714">
        <w:rPr>
          <w:sz w:val="22"/>
        </w:rPr>
        <w:t>Slovensko gospodarsko in raziskovalno združenje, Bruselj</w:t>
      </w:r>
    </w:p>
    <w:p w:rsidR="00A00574" w:rsidRPr="00083714" w:rsidRDefault="00A00574" w:rsidP="00A00574">
      <w:pPr>
        <w:pBdr>
          <w:bottom w:val="single" w:sz="6" w:space="1" w:color="auto"/>
        </w:pBdr>
        <w:tabs>
          <w:tab w:val="left" w:pos="3120"/>
        </w:tabs>
        <w:spacing w:before="240"/>
        <w:rPr>
          <w:sz w:val="16"/>
          <w:szCs w:val="16"/>
        </w:rPr>
      </w:pPr>
    </w:p>
    <w:p w:rsidR="00A00574" w:rsidRDefault="00A00574" w:rsidP="00A00574">
      <w:pPr>
        <w:tabs>
          <w:tab w:val="left" w:pos="3120"/>
        </w:tabs>
        <w:spacing w:before="240"/>
        <w:jc w:val="center"/>
        <w:rPr>
          <w:b/>
        </w:rPr>
      </w:pPr>
      <w:r>
        <w:rPr>
          <w:b/>
        </w:rPr>
        <w:t xml:space="preserve">Občasna informacija članom 147 </w:t>
      </w:r>
      <w:r w:rsidRPr="00083714">
        <w:rPr>
          <w:b/>
        </w:rPr>
        <w:t>– 20</w:t>
      </w:r>
      <w:r>
        <w:rPr>
          <w:b/>
        </w:rPr>
        <w:t>23</w:t>
      </w:r>
    </w:p>
    <w:p w:rsidR="00A00574" w:rsidRDefault="00A00574" w:rsidP="00A00574">
      <w:pPr>
        <w:tabs>
          <w:tab w:val="left" w:pos="3120"/>
        </w:tabs>
        <w:spacing w:before="240"/>
        <w:jc w:val="center"/>
        <w:rPr>
          <w:b/>
        </w:rPr>
      </w:pPr>
      <w:r>
        <w:rPr>
          <w:b/>
        </w:rPr>
        <w:t xml:space="preserve">25. september </w:t>
      </w:r>
      <w:r w:rsidRPr="00083714">
        <w:rPr>
          <w:b/>
        </w:rPr>
        <w:t xml:space="preserve"> 20</w:t>
      </w:r>
      <w:r>
        <w:rPr>
          <w:b/>
        </w:rPr>
        <w:t>23</w:t>
      </w:r>
    </w:p>
    <w:p w:rsidR="00A00574" w:rsidRDefault="00A00574" w:rsidP="00A00574">
      <w:pPr>
        <w:tabs>
          <w:tab w:val="left" w:pos="3120"/>
        </w:tabs>
        <w:spacing w:before="240"/>
        <w:jc w:val="center"/>
        <w:rPr>
          <w:b/>
        </w:rPr>
      </w:pPr>
    </w:p>
    <w:p w:rsidR="00100E31" w:rsidRDefault="00A00574" w:rsidP="00A00574">
      <w:pPr>
        <w:jc w:val="center"/>
        <w:rPr>
          <w:rFonts w:ascii="Arial" w:hAnsi="Arial"/>
          <w:b/>
          <w:i/>
          <w:sz w:val="22"/>
          <w:szCs w:val="22"/>
        </w:rPr>
      </w:pPr>
      <w:r>
        <w:rPr>
          <w:rFonts w:ascii="Arial" w:hAnsi="Arial"/>
          <w:b/>
          <w:color w:val="993300"/>
          <w:sz w:val="32"/>
          <w:szCs w:val="32"/>
        </w:rPr>
        <w:t>Objavljena je prenovljena direktiva o energetski učinkovitosti</w:t>
      </w:r>
    </w:p>
    <w:p w:rsidR="00100E31" w:rsidRDefault="00100E31" w:rsidP="00100E31">
      <w:pPr>
        <w:jc w:val="both"/>
        <w:rPr>
          <w:rFonts w:ascii="Arial" w:hAnsi="Arial"/>
          <w:b/>
          <w:i/>
          <w:sz w:val="22"/>
          <w:szCs w:val="22"/>
        </w:rPr>
      </w:pPr>
    </w:p>
    <w:p w:rsidR="00B44DF7" w:rsidRPr="00100E31" w:rsidRDefault="00B44DF7" w:rsidP="00100E31">
      <w:pPr>
        <w:jc w:val="both"/>
        <w:rPr>
          <w:rFonts w:ascii="Arial" w:hAnsi="Arial"/>
          <w:b/>
          <w:i/>
          <w:sz w:val="22"/>
          <w:szCs w:val="22"/>
        </w:rPr>
      </w:pPr>
      <w:r w:rsidRPr="00100E31">
        <w:rPr>
          <w:rFonts w:ascii="Arial" w:hAnsi="Arial"/>
          <w:b/>
          <w:i/>
          <w:sz w:val="22"/>
          <w:szCs w:val="22"/>
        </w:rPr>
        <w:t>V uradnem listu EU je objavljena prenovljena direktiva o energetski učinkovitosti</w:t>
      </w:r>
      <w:r w:rsidR="00A00574">
        <w:rPr>
          <w:rFonts w:ascii="Arial" w:hAnsi="Arial"/>
          <w:b/>
          <w:i/>
          <w:sz w:val="22"/>
          <w:szCs w:val="22"/>
        </w:rPr>
        <w:t>.</w:t>
      </w:r>
      <w:r w:rsidRPr="00100E31">
        <w:rPr>
          <w:rFonts w:ascii="Arial" w:hAnsi="Arial"/>
          <w:b/>
          <w:i/>
          <w:sz w:val="22"/>
          <w:szCs w:val="22"/>
        </w:rPr>
        <w:t xml:space="preserve"> Veljati bo začela 20. dan po objavi. Potem bodo imele države članice dve leti časa, da jo prenesejo v nacionalno zakonodajo. Nova direktiva uvaja več ukrepov vključno z načelom »najprej energetska učinkovitost« v politikah. To pomeni, da bodo morale države EU pri oblikovanju politik, načrtovanju in večjih naložbah dati prednost energetski učinkovitosti.</w:t>
      </w:r>
    </w:p>
    <w:p w:rsidR="00B44DF7" w:rsidRPr="00100E31" w:rsidRDefault="00B44DF7" w:rsidP="00100E31">
      <w:pPr>
        <w:jc w:val="both"/>
        <w:rPr>
          <w:rFonts w:ascii="Arial" w:hAnsi="Arial"/>
          <w:sz w:val="20"/>
          <w:szCs w:val="20"/>
        </w:rPr>
      </w:pPr>
    </w:p>
    <w:p w:rsidR="00B44DF7" w:rsidRPr="00100E31" w:rsidRDefault="00B44DF7" w:rsidP="00100E31">
      <w:pPr>
        <w:jc w:val="both"/>
        <w:rPr>
          <w:rFonts w:ascii="Arial" w:hAnsi="Arial"/>
          <w:b/>
          <w:sz w:val="20"/>
          <w:szCs w:val="20"/>
        </w:rPr>
      </w:pPr>
      <w:r w:rsidRPr="00100E31">
        <w:rPr>
          <w:rFonts w:ascii="Arial" w:hAnsi="Arial"/>
          <w:b/>
          <w:sz w:val="20"/>
          <w:szCs w:val="20"/>
        </w:rPr>
        <w:t>Tabela 1: Pregled glavnih novosti, ki jih uvaja prenovljena direktiva</w:t>
      </w:r>
    </w:p>
    <w:p w:rsidR="00B44DF7" w:rsidRPr="00100E31" w:rsidRDefault="00B44DF7" w:rsidP="00100E31">
      <w:pPr>
        <w:jc w:val="both"/>
        <w:rPr>
          <w:rFonts w:ascii="Arial" w:hAnsi="Arial"/>
          <w:b/>
          <w:sz w:val="20"/>
          <w:szCs w:val="20"/>
        </w:rPr>
      </w:pPr>
    </w:p>
    <w:tbl>
      <w:tblPr>
        <w:tblStyle w:val="Tabela-mrea"/>
        <w:tblW w:w="0" w:type="auto"/>
        <w:tblLook w:val="04A0"/>
      </w:tblPr>
      <w:tblGrid>
        <w:gridCol w:w="9212"/>
      </w:tblGrid>
      <w:tr w:rsidR="008C25F5" w:rsidRPr="00100E31" w:rsidTr="008C25F5">
        <w:tc>
          <w:tcPr>
            <w:tcW w:w="9212" w:type="dxa"/>
          </w:tcPr>
          <w:p w:rsidR="008C25F5" w:rsidRPr="00100E31" w:rsidRDefault="008C25F5" w:rsidP="00100E31">
            <w:pPr>
              <w:jc w:val="both"/>
              <w:rPr>
                <w:rFonts w:ascii="Arial" w:hAnsi="Arial"/>
                <w:b/>
                <w:sz w:val="20"/>
                <w:szCs w:val="20"/>
              </w:rPr>
            </w:pPr>
            <w:r w:rsidRPr="00100E31">
              <w:rPr>
                <w:rFonts w:ascii="Arial" w:hAnsi="Arial"/>
                <w:b/>
                <w:sz w:val="20"/>
                <w:szCs w:val="20"/>
              </w:rPr>
              <w:t>Novosti</w:t>
            </w:r>
          </w:p>
        </w:tc>
      </w:tr>
      <w:tr w:rsidR="008C25F5" w:rsidRPr="00100E31" w:rsidTr="008C25F5">
        <w:tc>
          <w:tcPr>
            <w:tcW w:w="9212" w:type="dxa"/>
          </w:tcPr>
          <w:p w:rsidR="008C25F5" w:rsidRPr="00A00574" w:rsidRDefault="008C25F5" w:rsidP="00100E31">
            <w:pPr>
              <w:jc w:val="both"/>
              <w:rPr>
                <w:rFonts w:ascii="Arial" w:hAnsi="Arial"/>
                <w:sz w:val="18"/>
                <w:szCs w:val="18"/>
              </w:rPr>
            </w:pPr>
            <w:r w:rsidRPr="00A00574">
              <w:rPr>
                <w:rFonts w:ascii="Arial" w:hAnsi="Arial"/>
                <w:sz w:val="18"/>
                <w:szCs w:val="18"/>
              </w:rPr>
              <w:t xml:space="preserve">Določitev pravno zavezujočega cilja EU za </w:t>
            </w:r>
            <w:r w:rsidRPr="00A00574">
              <w:rPr>
                <w:rFonts w:ascii="Arial" w:hAnsi="Arial"/>
                <w:b/>
                <w:sz w:val="18"/>
                <w:szCs w:val="18"/>
              </w:rPr>
              <w:t>zmanjšanje porabe končne energije</w:t>
            </w:r>
            <w:r w:rsidRPr="00A00574">
              <w:rPr>
                <w:rFonts w:ascii="Arial" w:hAnsi="Arial"/>
                <w:sz w:val="18"/>
                <w:szCs w:val="18"/>
              </w:rPr>
              <w:t xml:space="preserve"> v EU </w:t>
            </w:r>
            <w:r w:rsidRPr="00A00574">
              <w:rPr>
                <w:rFonts w:ascii="Arial" w:hAnsi="Arial"/>
                <w:b/>
                <w:sz w:val="18"/>
                <w:szCs w:val="18"/>
              </w:rPr>
              <w:t>za 11,7 odstotka do leta 2030</w:t>
            </w:r>
            <w:r w:rsidRPr="00A00574">
              <w:rPr>
                <w:rFonts w:ascii="Arial" w:hAnsi="Arial"/>
                <w:sz w:val="18"/>
                <w:szCs w:val="18"/>
              </w:rPr>
              <w:t xml:space="preserve"> (glede na referenčni scenarij iz leta 2020). To vključuje zahtevo, da vsaka država članica določi svoj okvirni nacionalni prispevek na podlagi objektivnih meril, ki odražajo nacionalne okoliščine. Če nacionalni prispevki ne dosegajo cilja EU, Komisija uporabi mehanizem vrzeli v ambicijah.</w:t>
            </w:r>
          </w:p>
        </w:tc>
      </w:tr>
      <w:tr w:rsidR="008C25F5" w:rsidRPr="00100E31" w:rsidTr="008C25F5">
        <w:tc>
          <w:tcPr>
            <w:tcW w:w="9212" w:type="dxa"/>
          </w:tcPr>
          <w:p w:rsidR="008C25F5" w:rsidRPr="00A00574" w:rsidRDefault="008C25F5" w:rsidP="00100E31">
            <w:pPr>
              <w:jc w:val="both"/>
              <w:rPr>
                <w:rFonts w:ascii="Arial" w:hAnsi="Arial"/>
                <w:sz w:val="18"/>
                <w:szCs w:val="18"/>
              </w:rPr>
            </w:pPr>
            <w:r w:rsidRPr="00A00574">
              <w:rPr>
                <w:rFonts w:ascii="Arial" w:hAnsi="Arial"/>
                <w:b/>
                <w:sz w:val="18"/>
                <w:szCs w:val="18"/>
              </w:rPr>
              <w:t>Povečanje letnih prihrankov energije</w:t>
            </w:r>
            <w:r w:rsidRPr="00A00574">
              <w:rPr>
                <w:rFonts w:ascii="Arial" w:hAnsi="Arial"/>
                <w:sz w:val="18"/>
                <w:szCs w:val="18"/>
              </w:rPr>
              <w:t xml:space="preserve"> z 0,8 odstotka na 1,3 odstotka (2024-2025), nato na 1,5 odstotka (2026-2027) in 1,9 odstotka od leta 2028 naprej. To pomeni povprečno 1,49 odstotka novih letnih prihrankov v obdobju 2024-2030.</w:t>
            </w:r>
          </w:p>
        </w:tc>
      </w:tr>
      <w:tr w:rsidR="008C25F5" w:rsidRPr="00100E31" w:rsidTr="008C25F5">
        <w:tc>
          <w:tcPr>
            <w:tcW w:w="9212" w:type="dxa"/>
          </w:tcPr>
          <w:p w:rsidR="008C25F5" w:rsidRPr="00A00574" w:rsidRDefault="008C25F5" w:rsidP="00100E31">
            <w:pPr>
              <w:jc w:val="both"/>
              <w:rPr>
                <w:rFonts w:ascii="Arial" w:hAnsi="Arial"/>
                <w:sz w:val="18"/>
                <w:szCs w:val="18"/>
              </w:rPr>
            </w:pPr>
            <w:r w:rsidRPr="00A00574">
              <w:rPr>
                <w:rFonts w:ascii="Arial" w:hAnsi="Arial"/>
                <w:sz w:val="18"/>
                <w:szCs w:val="18"/>
              </w:rPr>
              <w:t xml:space="preserve">Obveznost držav članic, da pri ukrepih za varčevanje z energijo dajejo </w:t>
            </w:r>
            <w:r w:rsidRPr="00A00574">
              <w:rPr>
                <w:rFonts w:ascii="Arial" w:hAnsi="Arial"/>
                <w:b/>
                <w:sz w:val="18"/>
                <w:szCs w:val="18"/>
              </w:rPr>
              <w:t>prednost ranljivim odjemalcem in socialnim stanovanjem</w:t>
            </w:r>
            <w:r w:rsidRPr="00A00574">
              <w:rPr>
                <w:rFonts w:ascii="Arial" w:hAnsi="Arial"/>
                <w:sz w:val="18"/>
                <w:szCs w:val="18"/>
              </w:rPr>
              <w:t>.</w:t>
            </w:r>
          </w:p>
        </w:tc>
      </w:tr>
      <w:tr w:rsidR="008C25F5" w:rsidRPr="00100E31" w:rsidTr="008C25F5">
        <w:tc>
          <w:tcPr>
            <w:tcW w:w="9212" w:type="dxa"/>
          </w:tcPr>
          <w:p w:rsidR="008C25F5" w:rsidRPr="00A00574" w:rsidRDefault="008C25F5" w:rsidP="00100E31">
            <w:pPr>
              <w:jc w:val="both"/>
              <w:rPr>
                <w:rFonts w:ascii="Arial" w:hAnsi="Arial"/>
                <w:sz w:val="18"/>
                <w:szCs w:val="18"/>
              </w:rPr>
            </w:pPr>
            <w:r w:rsidRPr="00A00574">
              <w:rPr>
                <w:rFonts w:ascii="Arial" w:hAnsi="Arial"/>
                <w:sz w:val="18"/>
                <w:szCs w:val="18"/>
              </w:rPr>
              <w:t xml:space="preserve">Uvedba letnega cilja </w:t>
            </w:r>
            <w:r w:rsidR="00100E31" w:rsidRPr="00A00574">
              <w:rPr>
                <w:rFonts w:ascii="Arial" w:hAnsi="Arial"/>
                <w:sz w:val="18"/>
                <w:szCs w:val="18"/>
              </w:rPr>
              <w:t xml:space="preserve">za </w:t>
            </w:r>
            <w:r w:rsidRPr="00A00574">
              <w:rPr>
                <w:rFonts w:ascii="Arial" w:hAnsi="Arial"/>
                <w:b/>
                <w:sz w:val="18"/>
                <w:szCs w:val="18"/>
              </w:rPr>
              <w:t>zmanjšanj</w:t>
            </w:r>
            <w:r w:rsidR="00100E31" w:rsidRPr="00A00574">
              <w:rPr>
                <w:rFonts w:ascii="Arial" w:hAnsi="Arial"/>
                <w:b/>
                <w:sz w:val="18"/>
                <w:szCs w:val="18"/>
              </w:rPr>
              <w:t>e</w:t>
            </w:r>
            <w:r w:rsidRPr="00A00574">
              <w:rPr>
                <w:rFonts w:ascii="Arial" w:hAnsi="Arial"/>
                <w:b/>
                <w:sz w:val="18"/>
                <w:szCs w:val="18"/>
              </w:rPr>
              <w:t xml:space="preserve"> porabe energije</w:t>
            </w:r>
            <w:r w:rsidRPr="00A00574">
              <w:rPr>
                <w:rFonts w:ascii="Arial" w:hAnsi="Arial"/>
                <w:sz w:val="18"/>
                <w:szCs w:val="18"/>
              </w:rPr>
              <w:t xml:space="preserve"> za 1,9 odstotka </w:t>
            </w:r>
            <w:r w:rsidRPr="00A00574">
              <w:rPr>
                <w:rFonts w:ascii="Arial" w:hAnsi="Arial"/>
                <w:b/>
                <w:sz w:val="18"/>
                <w:szCs w:val="18"/>
              </w:rPr>
              <w:t>za celoten javni sektor</w:t>
            </w:r>
            <w:r w:rsidRPr="00A00574">
              <w:rPr>
                <w:rFonts w:ascii="Arial" w:hAnsi="Arial"/>
                <w:sz w:val="18"/>
                <w:szCs w:val="18"/>
              </w:rPr>
              <w:t>.</w:t>
            </w:r>
          </w:p>
        </w:tc>
      </w:tr>
      <w:tr w:rsidR="008C25F5" w:rsidRPr="00100E31" w:rsidTr="008C25F5">
        <w:tc>
          <w:tcPr>
            <w:tcW w:w="9212" w:type="dxa"/>
          </w:tcPr>
          <w:p w:rsidR="008C25F5" w:rsidRPr="00A00574" w:rsidRDefault="008C25F5" w:rsidP="00100E31">
            <w:pPr>
              <w:jc w:val="both"/>
              <w:rPr>
                <w:rFonts w:ascii="Arial" w:hAnsi="Arial"/>
                <w:sz w:val="18"/>
                <w:szCs w:val="18"/>
              </w:rPr>
            </w:pPr>
            <w:r w:rsidRPr="00A00574">
              <w:rPr>
                <w:rFonts w:ascii="Arial" w:hAnsi="Arial"/>
                <w:sz w:val="18"/>
                <w:szCs w:val="18"/>
              </w:rPr>
              <w:t xml:space="preserve">Razširitev obveznosti za </w:t>
            </w:r>
            <w:r w:rsidRPr="00A00574">
              <w:rPr>
                <w:rFonts w:ascii="Arial" w:hAnsi="Arial"/>
                <w:b/>
                <w:sz w:val="18"/>
                <w:szCs w:val="18"/>
              </w:rPr>
              <w:t>obnovo 3 odstotkov stavb</w:t>
            </w:r>
            <w:r w:rsidRPr="00A00574">
              <w:rPr>
                <w:rFonts w:ascii="Arial" w:hAnsi="Arial"/>
                <w:sz w:val="18"/>
                <w:szCs w:val="18"/>
              </w:rPr>
              <w:t xml:space="preserve"> na leto na </w:t>
            </w:r>
            <w:r w:rsidRPr="00A00574">
              <w:rPr>
                <w:rFonts w:ascii="Arial" w:hAnsi="Arial"/>
                <w:b/>
                <w:sz w:val="18"/>
                <w:szCs w:val="18"/>
              </w:rPr>
              <w:t>vse ravni javne uprave</w:t>
            </w:r>
            <w:r w:rsidRPr="00A00574">
              <w:rPr>
                <w:rFonts w:ascii="Arial" w:hAnsi="Arial"/>
                <w:sz w:val="18"/>
                <w:szCs w:val="18"/>
              </w:rPr>
              <w:t>.</w:t>
            </w:r>
          </w:p>
        </w:tc>
      </w:tr>
      <w:tr w:rsidR="008C25F5" w:rsidRPr="00100E31" w:rsidTr="008C25F5">
        <w:tc>
          <w:tcPr>
            <w:tcW w:w="9212" w:type="dxa"/>
          </w:tcPr>
          <w:p w:rsidR="008C25F5" w:rsidRPr="00A00574" w:rsidRDefault="008C25F5" w:rsidP="00100E31">
            <w:pPr>
              <w:jc w:val="both"/>
              <w:rPr>
                <w:rFonts w:ascii="Arial" w:hAnsi="Arial"/>
                <w:sz w:val="18"/>
                <w:szCs w:val="18"/>
              </w:rPr>
            </w:pPr>
            <w:r w:rsidRPr="00A00574">
              <w:rPr>
                <w:rFonts w:ascii="Arial" w:hAnsi="Arial"/>
                <w:b/>
                <w:sz w:val="18"/>
                <w:szCs w:val="18"/>
              </w:rPr>
              <w:t>Uvedba pristopa, ki temelji na porabi energije</w:t>
            </w:r>
            <w:r w:rsidRPr="00A00574">
              <w:rPr>
                <w:rFonts w:ascii="Arial" w:hAnsi="Arial"/>
                <w:sz w:val="18"/>
                <w:szCs w:val="18"/>
              </w:rPr>
              <w:t>, za podjetja, ki morajo imeti sistem upravljanja z energijo ali izvajati energetske preglede.</w:t>
            </w:r>
          </w:p>
        </w:tc>
      </w:tr>
      <w:tr w:rsidR="008C25F5" w:rsidRPr="00100E31" w:rsidTr="008C25F5">
        <w:tc>
          <w:tcPr>
            <w:tcW w:w="9212" w:type="dxa"/>
          </w:tcPr>
          <w:p w:rsidR="008C25F5" w:rsidRPr="00A00574" w:rsidRDefault="008C25F5" w:rsidP="00100E31">
            <w:pPr>
              <w:jc w:val="both"/>
              <w:rPr>
                <w:rFonts w:ascii="Arial" w:hAnsi="Arial"/>
                <w:sz w:val="18"/>
                <w:szCs w:val="18"/>
              </w:rPr>
            </w:pPr>
            <w:r w:rsidRPr="00A00574">
              <w:rPr>
                <w:rFonts w:ascii="Arial" w:hAnsi="Arial"/>
                <w:b/>
                <w:sz w:val="18"/>
                <w:szCs w:val="18"/>
              </w:rPr>
              <w:t>Spodbujanje lokalnih načrtov</w:t>
            </w:r>
            <w:r w:rsidRPr="00A00574">
              <w:rPr>
                <w:rFonts w:ascii="Arial" w:hAnsi="Arial"/>
                <w:sz w:val="18"/>
                <w:szCs w:val="18"/>
              </w:rPr>
              <w:t xml:space="preserve"> za ogrevanje in hlajenje v večjih občinah.</w:t>
            </w:r>
          </w:p>
        </w:tc>
      </w:tr>
      <w:tr w:rsidR="008C25F5" w:rsidRPr="00100E31" w:rsidTr="008C25F5">
        <w:tc>
          <w:tcPr>
            <w:tcW w:w="9212" w:type="dxa"/>
          </w:tcPr>
          <w:p w:rsidR="008C25F5" w:rsidRPr="00A00574" w:rsidRDefault="008C25F5" w:rsidP="00100E31">
            <w:pPr>
              <w:jc w:val="both"/>
              <w:rPr>
                <w:rFonts w:ascii="Arial" w:hAnsi="Arial"/>
                <w:sz w:val="18"/>
                <w:szCs w:val="18"/>
              </w:rPr>
            </w:pPr>
            <w:r w:rsidRPr="00A00574">
              <w:rPr>
                <w:rFonts w:ascii="Arial" w:hAnsi="Arial"/>
                <w:sz w:val="18"/>
                <w:szCs w:val="18"/>
              </w:rPr>
              <w:t xml:space="preserve">Postopno </w:t>
            </w:r>
            <w:r w:rsidRPr="00A00574">
              <w:rPr>
                <w:rFonts w:ascii="Arial" w:hAnsi="Arial"/>
                <w:b/>
                <w:sz w:val="18"/>
                <w:szCs w:val="18"/>
              </w:rPr>
              <w:t>povečevanje učinkovite porabe energije</w:t>
            </w:r>
            <w:r w:rsidRPr="00A00574">
              <w:rPr>
                <w:rFonts w:ascii="Arial" w:hAnsi="Arial"/>
                <w:sz w:val="18"/>
                <w:szCs w:val="18"/>
              </w:rPr>
              <w:t xml:space="preserve"> pri oskrbi s toploto ali s hlajenjem, </w:t>
            </w:r>
            <w:r w:rsidRPr="00A00574">
              <w:rPr>
                <w:rFonts w:ascii="Arial" w:hAnsi="Arial"/>
                <w:b/>
                <w:sz w:val="18"/>
                <w:szCs w:val="18"/>
              </w:rPr>
              <w:t>tudi pri daljinskem ogrevanju</w:t>
            </w:r>
            <w:r w:rsidRPr="00A00574">
              <w:rPr>
                <w:rFonts w:ascii="Arial" w:hAnsi="Arial"/>
                <w:sz w:val="18"/>
                <w:szCs w:val="18"/>
              </w:rPr>
              <w:t>.</w:t>
            </w:r>
          </w:p>
        </w:tc>
      </w:tr>
    </w:tbl>
    <w:p w:rsidR="008B6928" w:rsidRPr="00100E31" w:rsidRDefault="008C25F5" w:rsidP="00100E31">
      <w:pPr>
        <w:jc w:val="both"/>
        <w:rPr>
          <w:rFonts w:ascii="Arial" w:hAnsi="Arial"/>
          <w:sz w:val="20"/>
          <w:szCs w:val="20"/>
        </w:rPr>
      </w:pPr>
      <w:r w:rsidRPr="00100E31">
        <w:rPr>
          <w:rFonts w:ascii="Arial" w:hAnsi="Arial"/>
          <w:sz w:val="20"/>
          <w:szCs w:val="20"/>
        </w:rPr>
        <w:t>Vir: Evropska komisija</w:t>
      </w:r>
    </w:p>
    <w:p w:rsidR="008C25F5" w:rsidRPr="00100E31" w:rsidRDefault="008C25F5" w:rsidP="00100E31">
      <w:pPr>
        <w:jc w:val="both"/>
        <w:rPr>
          <w:rFonts w:ascii="Arial" w:hAnsi="Arial"/>
          <w:sz w:val="20"/>
          <w:szCs w:val="20"/>
        </w:rPr>
      </w:pPr>
    </w:p>
    <w:p w:rsidR="008C25F5" w:rsidRPr="00100E31" w:rsidRDefault="008C25F5" w:rsidP="00100E31">
      <w:pPr>
        <w:jc w:val="both"/>
        <w:rPr>
          <w:rFonts w:ascii="Arial" w:hAnsi="Arial"/>
          <w:b/>
          <w:sz w:val="20"/>
          <w:szCs w:val="20"/>
        </w:rPr>
      </w:pPr>
      <w:r w:rsidRPr="00100E31">
        <w:rPr>
          <w:rFonts w:ascii="Arial" w:hAnsi="Arial"/>
          <w:b/>
          <w:sz w:val="20"/>
          <w:szCs w:val="20"/>
        </w:rPr>
        <w:t>Koristne informacije:</w:t>
      </w:r>
    </w:p>
    <w:p w:rsidR="00100E31" w:rsidRDefault="00100E31" w:rsidP="00100E31">
      <w:pPr>
        <w:jc w:val="both"/>
        <w:rPr>
          <w:rFonts w:ascii="Arial" w:hAnsi="Arial"/>
          <w:sz w:val="20"/>
          <w:szCs w:val="20"/>
        </w:rPr>
      </w:pPr>
    </w:p>
    <w:p w:rsidR="008C25F5" w:rsidRPr="00100E31" w:rsidRDefault="008C25F5" w:rsidP="00100E31">
      <w:pPr>
        <w:pStyle w:val="Odstavekseznama"/>
        <w:numPr>
          <w:ilvl w:val="0"/>
          <w:numId w:val="1"/>
        </w:numPr>
        <w:jc w:val="both"/>
        <w:rPr>
          <w:rFonts w:ascii="Arial" w:hAnsi="Arial"/>
          <w:sz w:val="20"/>
          <w:szCs w:val="20"/>
        </w:rPr>
      </w:pPr>
      <w:r w:rsidRPr="00100E31">
        <w:rPr>
          <w:rFonts w:ascii="Arial" w:hAnsi="Arial"/>
          <w:sz w:val="20"/>
          <w:szCs w:val="20"/>
        </w:rPr>
        <w:t xml:space="preserve">Spletna stran </w:t>
      </w:r>
      <w:r w:rsidR="00EC77FE" w:rsidRPr="00100E31">
        <w:rPr>
          <w:rFonts w:ascii="Arial" w:hAnsi="Arial"/>
          <w:sz w:val="20"/>
          <w:szCs w:val="20"/>
        </w:rPr>
        <w:t>z informacijami o določbah direktive:</w:t>
      </w:r>
    </w:p>
    <w:p w:rsidR="00EC77FE" w:rsidRPr="00100E31" w:rsidRDefault="00EC77FE" w:rsidP="00100E31">
      <w:pPr>
        <w:pStyle w:val="Odstavekseznama"/>
        <w:numPr>
          <w:ilvl w:val="0"/>
          <w:numId w:val="1"/>
        </w:numPr>
        <w:jc w:val="both"/>
        <w:rPr>
          <w:rFonts w:ascii="Arial" w:hAnsi="Arial"/>
          <w:sz w:val="20"/>
          <w:szCs w:val="20"/>
        </w:rPr>
      </w:pPr>
      <w:hyperlink r:id="rId6" w:history="1">
        <w:r w:rsidRPr="00100E31">
          <w:rPr>
            <w:rStyle w:val="Hiperpovezava"/>
            <w:rFonts w:ascii="Arial" w:hAnsi="Arial" w:cs="Arial"/>
            <w:sz w:val="20"/>
            <w:szCs w:val="20"/>
          </w:rPr>
          <w:t>https://energy.ec.europa.eu/topics/energy-efficiency/energy-efficiency-targets-directive-and-rules/energy-efficiency-directive_sl</w:t>
        </w:r>
      </w:hyperlink>
    </w:p>
    <w:p w:rsidR="00EC77FE" w:rsidRPr="00100E31" w:rsidRDefault="00EC77FE" w:rsidP="00100E31">
      <w:pPr>
        <w:pStyle w:val="Odstavekseznama"/>
        <w:numPr>
          <w:ilvl w:val="0"/>
          <w:numId w:val="1"/>
        </w:numPr>
        <w:jc w:val="both"/>
        <w:rPr>
          <w:rFonts w:ascii="Arial" w:hAnsi="Arial"/>
          <w:sz w:val="20"/>
          <w:szCs w:val="20"/>
        </w:rPr>
      </w:pPr>
      <w:r w:rsidRPr="00100E31">
        <w:rPr>
          <w:rFonts w:ascii="Arial" w:hAnsi="Arial"/>
          <w:sz w:val="20"/>
          <w:szCs w:val="20"/>
        </w:rPr>
        <w:t>Direktiva:</w:t>
      </w:r>
    </w:p>
    <w:p w:rsidR="00EC77FE" w:rsidRPr="00100E31" w:rsidRDefault="00EC77FE" w:rsidP="00100E31">
      <w:pPr>
        <w:pStyle w:val="Odstavekseznama"/>
        <w:numPr>
          <w:ilvl w:val="0"/>
          <w:numId w:val="1"/>
        </w:numPr>
        <w:jc w:val="both"/>
        <w:rPr>
          <w:rFonts w:ascii="Arial" w:hAnsi="Arial"/>
          <w:sz w:val="20"/>
          <w:szCs w:val="20"/>
        </w:rPr>
      </w:pPr>
      <w:hyperlink r:id="rId7" w:history="1">
        <w:r w:rsidRPr="00100E31">
          <w:rPr>
            <w:rStyle w:val="Hiperpovezava"/>
            <w:rFonts w:ascii="Arial" w:hAnsi="Arial" w:cs="Arial"/>
            <w:sz w:val="20"/>
            <w:szCs w:val="20"/>
          </w:rPr>
          <w:t>https://eur-lex.europa.eu/legal-content/SL/TXT/HTML/?uri=CELEX:32023L1791</w:t>
        </w:r>
      </w:hyperlink>
    </w:p>
    <w:p w:rsidR="00EC77FE" w:rsidRPr="00100E31" w:rsidRDefault="00EC77FE" w:rsidP="00100E31">
      <w:pPr>
        <w:jc w:val="both"/>
        <w:rPr>
          <w:rFonts w:ascii="Arial" w:hAnsi="Arial"/>
          <w:sz w:val="20"/>
          <w:szCs w:val="20"/>
        </w:rPr>
      </w:pPr>
    </w:p>
    <w:p w:rsidR="00EC77FE" w:rsidRPr="00100E31" w:rsidRDefault="00EC77FE" w:rsidP="00100E31">
      <w:pPr>
        <w:jc w:val="both"/>
        <w:rPr>
          <w:rFonts w:ascii="Arial" w:hAnsi="Arial"/>
          <w:sz w:val="20"/>
          <w:szCs w:val="20"/>
        </w:rPr>
      </w:pPr>
      <w:r w:rsidRPr="00100E31">
        <w:rPr>
          <w:rFonts w:ascii="Arial" w:hAnsi="Arial"/>
          <w:sz w:val="20"/>
          <w:szCs w:val="20"/>
        </w:rPr>
        <w:t>Pripravila:</w:t>
      </w:r>
    </w:p>
    <w:p w:rsidR="00EC77FE" w:rsidRPr="00100E31" w:rsidRDefault="00EC77FE" w:rsidP="00100E31">
      <w:pPr>
        <w:jc w:val="both"/>
        <w:rPr>
          <w:rFonts w:ascii="Arial" w:hAnsi="Arial"/>
          <w:sz w:val="20"/>
          <w:szCs w:val="20"/>
        </w:rPr>
      </w:pPr>
      <w:r w:rsidRPr="00100E31">
        <w:rPr>
          <w:rFonts w:ascii="Arial" w:hAnsi="Arial"/>
          <w:sz w:val="20"/>
          <w:szCs w:val="20"/>
        </w:rPr>
        <w:t>Darja Kocbek</w:t>
      </w:r>
    </w:p>
    <w:sectPr w:rsidR="00EC77FE" w:rsidRPr="00100E31" w:rsidSect="008B69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6F3178"/>
    <w:multiLevelType w:val="hybridMultilevel"/>
    <w:tmpl w:val="F57AF06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4DF7"/>
    <w:rsid w:val="00100E31"/>
    <w:rsid w:val="008B6928"/>
    <w:rsid w:val="008C25F5"/>
    <w:rsid w:val="00A00574"/>
    <w:rsid w:val="00B44DF7"/>
    <w:rsid w:val="00EC77FE"/>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4DF7"/>
    <w:pPr>
      <w:spacing w:after="0" w:line="240" w:lineRule="auto"/>
    </w:pPr>
    <w:rPr>
      <w:rFonts w:ascii="Times New Roman" w:eastAsia="NSimSun" w:hAnsi="Times New Roman" w:cs="Arial"/>
      <w:kern w:val="2"/>
      <w:sz w:val="24"/>
      <w:szCs w:val="24"/>
      <w:lang w:eastAsia="zh-CN" w:bidi="hi-IN"/>
    </w:rPr>
  </w:style>
  <w:style w:type="paragraph" w:styleId="Naslov2">
    <w:name w:val="heading 2"/>
    <w:basedOn w:val="Navaden"/>
    <w:next w:val="Navaden"/>
    <w:link w:val="Naslov2Znak"/>
    <w:uiPriority w:val="9"/>
    <w:unhideWhenUsed/>
    <w:qFormat/>
    <w:rsid w:val="00A00574"/>
    <w:pPr>
      <w:keepNext/>
      <w:keepLines/>
      <w:spacing w:before="200" w:line="276" w:lineRule="auto"/>
      <w:outlineLvl w:val="1"/>
    </w:pPr>
    <w:rPr>
      <w:rFonts w:asciiTheme="majorHAnsi" w:eastAsiaTheme="majorEastAsia" w:hAnsiTheme="majorHAnsi" w:cstheme="majorBidi"/>
      <w:b/>
      <w:bCs/>
      <w:color w:val="4F81BD" w:themeColor="accent1"/>
      <w:kern w:val="0"/>
      <w:sz w:val="26"/>
      <w:szCs w:val="26"/>
      <w:lang w:eastAsia="en-US" w:bidi="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59"/>
    <w:rsid w:val="008C25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iperpovezava">
    <w:name w:val="Hyperlink"/>
    <w:basedOn w:val="Privzetapisavaodstavka"/>
    <w:uiPriority w:val="99"/>
    <w:unhideWhenUsed/>
    <w:rsid w:val="00EC77FE"/>
    <w:rPr>
      <w:color w:val="0000FF" w:themeColor="hyperlink"/>
      <w:u w:val="single"/>
    </w:rPr>
  </w:style>
  <w:style w:type="paragraph" w:styleId="Odstavekseznama">
    <w:name w:val="List Paragraph"/>
    <w:basedOn w:val="Navaden"/>
    <w:uiPriority w:val="34"/>
    <w:qFormat/>
    <w:rsid w:val="00100E31"/>
    <w:pPr>
      <w:ind w:left="720"/>
      <w:contextualSpacing/>
    </w:pPr>
    <w:rPr>
      <w:rFonts w:cs="Mangal"/>
      <w:szCs w:val="21"/>
    </w:rPr>
  </w:style>
  <w:style w:type="character" w:customStyle="1" w:styleId="Naslov2Znak">
    <w:name w:val="Naslov 2 Znak"/>
    <w:basedOn w:val="Privzetapisavaodstavka"/>
    <w:link w:val="Naslov2"/>
    <w:uiPriority w:val="9"/>
    <w:rsid w:val="00A00574"/>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A00574"/>
    <w:rPr>
      <w:rFonts w:ascii="Tahoma" w:hAnsi="Tahoma" w:cs="Mangal"/>
      <w:sz w:val="16"/>
      <w:szCs w:val="14"/>
    </w:rPr>
  </w:style>
  <w:style w:type="character" w:customStyle="1" w:styleId="BesedilooblakaZnak">
    <w:name w:val="Besedilo oblačka Znak"/>
    <w:basedOn w:val="Privzetapisavaodstavka"/>
    <w:link w:val="Besedilooblaka"/>
    <w:uiPriority w:val="99"/>
    <w:semiHidden/>
    <w:rsid w:val="00A00574"/>
    <w:rPr>
      <w:rFonts w:ascii="Tahoma" w:eastAsia="N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ur-lex.europa.eu/legal-content/SL/TXT/HTML/?uri=CELEX:32023L179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ergy.ec.europa.eu/topics/energy-efficiency/energy-efficiency-targets-directive-and-rules/energy-efficiency-directive_sl"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380</Words>
  <Characters>2172</Characters>
  <Application>Microsoft Office Word</Application>
  <DocSecurity>0</DocSecurity>
  <Lines>18</Lines>
  <Paragraphs>5</Paragraphs>
  <ScaleCrop>false</ScaleCrop>
  <Company>HP</Company>
  <LinksUpToDate>false</LinksUpToDate>
  <CharactersWithSpaces>2547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2023-09-21T12:32:00Z</dcterms:created>
  <dcterms:modified xsi:type="dcterms:W3CDTF">2023-09-21T13:00:00Z</dcterms:modified>
</cp:coreProperties>
</file>