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C8D" w:rsidRPr="00467345" w:rsidRDefault="00F40C8D" w:rsidP="00F40C8D">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F40C8D" w:rsidRPr="00083714" w:rsidRDefault="00F40C8D" w:rsidP="00F40C8D">
      <w:pPr>
        <w:pStyle w:val="Naslov2"/>
        <w:tabs>
          <w:tab w:val="left" w:pos="3120"/>
        </w:tabs>
        <w:spacing w:before="240"/>
        <w:jc w:val="center"/>
        <w:rPr>
          <w:b w:val="0"/>
          <w:bCs w:val="0"/>
          <w:i/>
          <w:iCs/>
          <w:sz w:val="22"/>
        </w:rPr>
      </w:pPr>
      <w:r w:rsidRPr="00083714">
        <w:rPr>
          <w:sz w:val="22"/>
        </w:rPr>
        <w:t>Slovensko gospodarsko in raziskovalno združenje, Bruselj</w:t>
      </w:r>
    </w:p>
    <w:p w:rsidR="00F40C8D" w:rsidRPr="00083714" w:rsidRDefault="00F40C8D" w:rsidP="00F40C8D">
      <w:pPr>
        <w:pBdr>
          <w:bottom w:val="single" w:sz="6" w:space="1" w:color="auto"/>
        </w:pBdr>
        <w:tabs>
          <w:tab w:val="left" w:pos="3120"/>
        </w:tabs>
        <w:spacing w:before="240"/>
        <w:rPr>
          <w:sz w:val="16"/>
          <w:szCs w:val="16"/>
        </w:rPr>
      </w:pPr>
    </w:p>
    <w:p w:rsidR="00F40C8D" w:rsidRDefault="00F40C8D" w:rsidP="00F40C8D">
      <w:pPr>
        <w:tabs>
          <w:tab w:val="left" w:pos="3120"/>
        </w:tabs>
        <w:spacing w:before="240"/>
        <w:rPr>
          <w:b/>
        </w:rPr>
      </w:pPr>
      <w:r w:rsidRPr="00083714">
        <w:rPr>
          <w:b/>
        </w:rPr>
        <w:tab/>
      </w:r>
      <w:r>
        <w:rPr>
          <w:b/>
        </w:rPr>
        <w:t xml:space="preserve">Občasna informacija članom 147 </w:t>
      </w:r>
      <w:r w:rsidRPr="00083714">
        <w:rPr>
          <w:b/>
        </w:rPr>
        <w:t>– 20</w:t>
      </w:r>
      <w:r>
        <w:rPr>
          <w:b/>
        </w:rPr>
        <w:t>22</w:t>
      </w:r>
    </w:p>
    <w:p w:rsidR="00F40C8D" w:rsidRPr="0002310E" w:rsidRDefault="00F40C8D" w:rsidP="00F40C8D">
      <w:pPr>
        <w:tabs>
          <w:tab w:val="left" w:pos="3120"/>
        </w:tabs>
        <w:spacing w:before="240"/>
        <w:jc w:val="center"/>
        <w:rPr>
          <w:b/>
        </w:rPr>
      </w:pPr>
      <w:r>
        <w:rPr>
          <w:b/>
        </w:rPr>
        <w:t xml:space="preserve">26. september </w:t>
      </w:r>
      <w:r w:rsidRPr="00083714">
        <w:rPr>
          <w:b/>
        </w:rPr>
        <w:t xml:space="preserve"> 20</w:t>
      </w:r>
      <w:r>
        <w:rPr>
          <w:b/>
        </w:rPr>
        <w:t>22</w:t>
      </w:r>
    </w:p>
    <w:p w:rsidR="00F40C8D" w:rsidRDefault="00F40C8D" w:rsidP="00F40C8D">
      <w:pPr>
        <w:jc w:val="center"/>
        <w:rPr>
          <w:b/>
          <w:color w:val="993300"/>
          <w:sz w:val="32"/>
          <w:szCs w:val="32"/>
        </w:rPr>
      </w:pPr>
    </w:p>
    <w:p w:rsidR="00F40C8D" w:rsidRDefault="00F40C8D" w:rsidP="00F40C8D">
      <w:pPr>
        <w:jc w:val="center"/>
        <w:rPr>
          <w:rFonts w:ascii="Arial" w:hAnsi="Arial"/>
          <w:b/>
          <w:i/>
        </w:rPr>
      </w:pPr>
      <w:r>
        <w:rPr>
          <w:b/>
          <w:color w:val="993300"/>
          <w:sz w:val="32"/>
          <w:szCs w:val="32"/>
        </w:rPr>
        <w:t>Nov instrument enotnega trga za izredne razmere</w:t>
      </w:r>
    </w:p>
    <w:p w:rsidR="00F40C8D" w:rsidRPr="00F40C8D" w:rsidRDefault="00F40C8D" w:rsidP="00F40C8D">
      <w:pPr>
        <w:jc w:val="center"/>
        <w:rPr>
          <w:rFonts w:ascii="Arial" w:hAnsi="Arial"/>
          <w:b/>
          <w:i/>
        </w:rPr>
      </w:pPr>
    </w:p>
    <w:p w:rsidR="00BC36FD" w:rsidRPr="009E4196" w:rsidRDefault="008E5287" w:rsidP="009E4196">
      <w:pPr>
        <w:spacing w:after="240"/>
        <w:jc w:val="both"/>
        <w:rPr>
          <w:rFonts w:ascii="Arial" w:hAnsi="Arial"/>
          <w:b/>
          <w:i/>
          <w:sz w:val="22"/>
          <w:szCs w:val="22"/>
        </w:rPr>
      </w:pPr>
      <w:r w:rsidRPr="009E4196">
        <w:rPr>
          <w:rFonts w:ascii="Arial" w:hAnsi="Arial"/>
          <w:b/>
          <w:i/>
          <w:sz w:val="22"/>
          <w:szCs w:val="22"/>
        </w:rPr>
        <w:t>Evropska komisija je predstavila nov instrument enotnega trga za izredne razmere. Njegov cilj je ohraniti prosti pretok blaga, storitev in oseb ter razpoložljivost bistvenega blaga in storitev v primeru prihodnjih izrednih razmer. Instrument enotnega trga za izredne razmere dopolnjuje druge zakonodajne ukrepe EU za krizno upravljanje, kot je mehanizem Unije na področju civilne zaščite, ter pravila EU za posebne sektorje, dobavne verige ali proizvode, kot so zdravje, polprevodniki ali prehranska varnost. Člani lahko dobijo več informacij na SBRA.</w:t>
      </w:r>
    </w:p>
    <w:p w:rsidR="00BC36FD" w:rsidRPr="009E4196" w:rsidRDefault="00BC36FD" w:rsidP="009E4196">
      <w:pPr>
        <w:spacing w:after="240"/>
        <w:jc w:val="both"/>
        <w:rPr>
          <w:rFonts w:ascii="Arial" w:hAnsi="Arial"/>
          <w:sz w:val="20"/>
          <w:szCs w:val="20"/>
        </w:rPr>
      </w:pPr>
      <w:r w:rsidRPr="009E4196">
        <w:rPr>
          <w:rFonts w:ascii="Arial" w:hAnsi="Arial"/>
          <w:sz w:val="20"/>
          <w:szCs w:val="20"/>
        </w:rPr>
        <w:t>Instrument z vzpostavitvijo modela kriznega upravljanja za enotni trg zajema več faz – fazo ravnanja, fazo pozornosti in fazo izrednih razmer. Predvideno je, da bo ustanovljena svetovalna skupina, sestavljena iz predstavnikov Evropske komisije in držav članic, katere naloga bo oceniti dane razmere in priporočiti najprimernejše ukrepe za odzivanje.</w:t>
      </w:r>
    </w:p>
    <w:p w:rsidR="00BC36FD" w:rsidRPr="009E4196" w:rsidRDefault="00BC36FD" w:rsidP="009E4196">
      <w:pPr>
        <w:spacing w:after="240"/>
        <w:jc w:val="both"/>
        <w:rPr>
          <w:rFonts w:ascii="Arial" w:hAnsi="Arial"/>
          <w:sz w:val="20"/>
          <w:szCs w:val="20"/>
        </w:rPr>
      </w:pPr>
      <w:r w:rsidRPr="009E4196">
        <w:rPr>
          <w:rFonts w:ascii="Arial" w:hAnsi="Arial"/>
          <w:sz w:val="20"/>
          <w:szCs w:val="20"/>
        </w:rPr>
        <w:t>V fazi pozornosti bi se države članice v sodelovanju s Komisijo osredotočile na spremljanje dobavnih verig opredeljenega in strateško pomembnega blaga in storitev ter na ustvarjanje strateških rezerv na teh področjih.</w:t>
      </w:r>
    </w:p>
    <w:p w:rsidR="00BC36FD" w:rsidRPr="009E4196" w:rsidRDefault="00BC36FD" w:rsidP="009E4196">
      <w:pPr>
        <w:spacing w:after="240"/>
        <w:jc w:val="both"/>
        <w:rPr>
          <w:rFonts w:ascii="Arial" w:hAnsi="Arial"/>
          <w:sz w:val="20"/>
          <w:szCs w:val="20"/>
        </w:rPr>
      </w:pPr>
      <w:r w:rsidRPr="009E4196">
        <w:rPr>
          <w:rFonts w:ascii="Arial" w:hAnsi="Arial"/>
          <w:sz w:val="20"/>
          <w:szCs w:val="20"/>
        </w:rPr>
        <w:t>Predvideno je, da bi ob aktiviranju faze izrednih razmer Evropska komisija lahko državam članicam tudi priporočila, naj zagotovijo razpoložljivost v krizi pomembnega blaga z lajšanjem širitve ali s spremembo namena proizvodnih linij ali pospešitvijo izdajanja dovoljenj.</w:t>
      </w:r>
    </w:p>
    <w:p w:rsidR="009E4196" w:rsidRPr="009E4196" w:rsidRDefault="009E4196" w:rsidP="009E4196">
      <w:pPr>
        <w:spacing w:after="240"/>
        <w:jc w:val="both"/>
        <w:rPr>
          <w:rFonts w:ascii="Arial" w:hAnsi="Arial"/>
          <w:b/>
          <w:sz w:val="20"/>
          <w:szCs w:val="20"/>
        </w:rPr>
      </w:pPr>
      <w:r w:rsidRPr="009E4196">
        <w:rPr>
          <w:rFonts w:ascii="Arial" w:hAnsi="Arial"/>
          <w:b/>
          <w:sz w:val="20"/>
          <w:szCs w:val="20"/>
        </w:rPr>
        <w:t>Koristne informacije:</w:t>
      </w:r>
    </w:p>
    <w:p w:rsidR="009E4196" w:rsidRPr="009E4196" w:rsidRDefault="009E4196" w:rsidP="009E4196">
      <w:pPr>
        <w:pStyle w:val="Odstavekseznama"/>
        <w:numPr>
          <w:ilvl w:val="0"/>
          <w:numId w:val="1"/>
        </w:numPr>
        <w:spacing w:after="240"/>
        <w:jc w:val="both"/>
        <w:rPr>
          <w:rFonts w:ascii="Arial" w:hAnsi="Arial"/>
          <w:sz w:val="20"/>
          <w:szCs w:val="20"/>
        </w:rPr>
      </w:pPr>
      <w:r w:rsidRPr="009E4196">
        <w:rPr>
          <w:rFonts w:ascii="Arial" w:hAnsi="Arial"/>
          <w:sz w:val="20"/>
          <w:szCs w:val="20"/>
        </w:rPr>
        <w:t>Predlog uredbe o vzpostavitvi instrumenta enotnega trga za izredne razmere:</w:t>
      </w:r>
    </w:p>
    <w:p w:rsidR="009E4196" w:rsidRPr="009E4196" w:rsidRDefault="009E4196" w:rsidP="009E4196">
      <w:pPr>
        <w:pStyle w:val="Odstavekseznama"/>
        <w:numPr>
          <w:ilvl w:val="0"/>
          <w:numId w:val="1"/>
        </w:numPr>
        <w:spacing w:after="240"/>
        <w:jc w:val="both"/>
        <w:rPr>
          <w:rFonts w:ascii="Arial" w:hAnsi="Arial"/>
          <w:sz w:val="20"/>
          <w:szCs w:val="20"/>
        </w:rPr>
      </w:pPr>
      <w:hyperlink r:id="rId6" w:history="1">
        <w:r w:rsidRPr="009E4196">
          <w:rPr>
            <w:rStyle w:val="Hiperpovezava"/>
            <w:rFonts w:ascii="Arial" w:hAnsi="Arial" w:cs="Arial"/>
            <w:sz w:val="20"/>
            <w:szCs w:val="20"/>
          </w:rPr>
          <w:t>https://single-market-economy.ec.europa.eu/document/d1d0b38a-cec8-479d-be70-1ffae7e227a5_en</w:t>
        </w:r>
      </w:hyperlink>
    </w:p>
    <w:p w:rsidR="009E4196" w:rsidRPr="009E4196" w:rsidRDefault="009E4196" w:rsidP="009E4196">
      <w:pPr>
        <w:pStyle w:val="Odstavekseznama"/>
        <w:numPr>
          <w:ilvl w:val="0"/>
          <w:numId w:val="1"/>
        </w:numPr>
        <w:spacing w:after="240"/>
        <w:jc w:val="both"/>
        <w:rPr>
          <w:rFonts w:ascii="Arial" w:hAnsi="Arial"/>
          <w:sz w:val="20"/>
          <w:szCs w:val="20"/>
        </w:rPr>
      </w:pPr>
      <w:r w:rsidRPr="009E4196">
        <w:rPr>
          <w:rFonts w:ascii="Arial" w:hAnsi="Arial"/>
          <w:sz w:val="20"/>
          <w:szCs w:val="20"/>
        </w:rPr>
        <w:t>Predlog uredbe o določitvi ukrepov za lajšanje dobave in razpoložljivosti v krizi pomembnega blaga v okviru izrednih razmer na enotnem trgu:</w:t>
      </w:r>
    </w:p>
    <w:p w:rsidR="009E4196" w:rsidRPr="009E4196" w:rsidRDefault="009E4196" w:rsidP="009E4196">
      <w:pPr>
        <w:pStyle w:val="Odstavekseznama"/>
        <w:numPr>
          <w:ilvl w:val="0"/>
          <w:numId w:val="1"/>
        </w:numPr>
        <w:spacing w:after="240"/>
        <w:jc w:val="both"/>
        <w:rPr>
          <w:rFonts w:ascii="Arial" w:hAnsi="Arial"/>
          <w:sz w:val="20"/>
          <w:szCs w:val="20"/>
        </w:rPr>
      </w:pPr>
      <w:hyperlink r:id="rId7" w:history="1">
        <w:r w:rsidRPr="009E4196">
          <w:rPr>
            <w:rStyle w:val="Hiperpovezava"/>
            <w:rFonts w:ascii="Arial" w:hAnsi="Arial" w:cs="Arial"/>
            <w:sz w:val="20"/>
            <w:szCs w:val="20"/>
          </w:rPr>
          <w:t>https://single-market-economy.ec.europa.eu/document/c357af99-449a-4f2e-bc20-ca36e8dbb6a5_en</w:t>
        </w:r>
      </w:hyperlink>
    </w:p>
    <w:p w:rsidR="009E4196" w:rsidRPr="009E4196" w:rsidRDefault="009E4196" w:rsidP="009E4196">
      <w:pPr>
        <w:pStyle w:val="Odstavekseznama"/>
        <w:numPr>
          <w:ilvl w:val="0"/>
          <w:numId w:val="1"/>
        </w:numPr>
        <w:spacing w:after="240"/>
        <w:jc w:val="both"/>
        <w:rPr>
          <w:rFonts w:ascii="Arial" w:hAnsi="Arial"/>
          <w:sz w:val="20"/>
          <w:szCs w:val="20"/>
        </w:rPr>
      </w:pPr>
      <w:r w:rsidRPr="009E4196">
        <w:rPr>
          <w:rFonts w:ascii="Arial" w:hAnsi="Arial"/>
          <w:sz w:val="20"/>
          <w:szCs w:val="20"/>
        </w:rPr>
        <w:t>Predlog direktive o uvedbi nujnih postopkov za ugotavljanje skladnosti, sprejetje skupnih specifikacij in nadzor trga v okviru izrednih razmer na enotnem trgu:</w:t>
      </w:r>
    </w:p>
    <w:p w:rsidR="009E4196" w:rsidRPr="009E4196" w:rsidRDefault="009E4196" w:rsidP="009E4196">
      <w:pPr>
        <w:pStyle w:val="Odstavekseznama"/>
        <w:numPr>
          <w:ilvl w:val="0"/>
          <w:numId w:val="1"/>
        </w:numPr>
        <w:spacing w:after="240"/>
        <w:jc w:val="both"/>
        <w:rPr>
          <w:rFonts w:ascii="Arial" w:hAnsi="Arial"/>
          <w:sz w:val="20"/>
          <w:szCs w:val="20"/>
        </w:rPr>
      </w:pPr>
      <w:hyperlink r:id="rId8" w:history="1">
        <w:r w:rsidRPr="009E4196">
          <w:rPr>
            <w:rStyle w:val="Hiperpovezava"/>
            <w:rFonts w:ascii="Arial" w:hAnsi="Arial" w:cs="Arial"/>
            <w:sz w:val="20"/>
            <w:szCs w:val="20"/>
          </w:rPr>
          <w:t>https://single-market-economy.ec.europa.eu/document/ed80dab1-a750-4ce6-a08b-dd88528e8dbe_en</w:t>
        </w:r>
      </w:hyperlink>
    </w:p>
    <w:p w:rsidR="009E4196" w:rsidRPr="009E4196" w:rsidRDefault="009E4196" w:rsidP="009E4196">
      <w:pPr>
        <w:jc w:val="both"/>
        <w:rPr>
          <w:rFonts w:ascii="Arial" w:hAnsi="Arial"/>
          <w:sz w:val="20"/>
          <w:szCs w:val="20"/>
        </w:rPr>
      </w:pPr>
      <w:r w:rsidRPr="009E4196">
        <w:rPr>
          <w:rFonts w:ascii="Arial" w:hAnsi="Arial"/>
          <w:sz w:val="20"/>
          <w:szCs w:val="20"/>
        </w:rPr>
        <w:t>Pripravila:</w:t>
      </w:r>
    </w:p>
    <w:p w:rsidR="009E4196" w:rsidRPr="009E4196" w:rsidRDefault="009E4196" w:rsidP="009E4196">
      <w:pPr>
        <w:jc w:val="both"/>
        <w:rPr>
          <w:rFonts w:ascii="Arial" w:hAnsi="Arial"/>
          <w:sz w:val="20"/>
          <w:szCs w:val="20"/>
        </w:rPr>
      </w:pPr>
      <w:r w:rsidRPr="009E4196">
        <w:rPr>
          <w:rFonts w:ascii="Arial" w:hAnsi="Arial"/>
          <w:sz w:val="20"/>
          <w:szCs w:val="20"/>
        </w:rPr>
        <w:t>Darja Kocbek</w:t>
      </w:r>
    </w:p>
    <w:p w:rsidR="009E4196" w:rsidRPr="00BC36FD" w:rsidRDefault="009E4196" w:rsidP="009E4196"/>
    <w:p w:rsidR="00C719D4" w:rsidRPr="00BC36FD" w:rsidRDefault="00C719D4" w:rsidP="00BC36FD"/>
    <w:p w:rsidR="008E5287" w:rsidRPr="00BC36FD" w:rsidRDefault="008E5287" w:rsidP="00BC36FD"/>
    <w:sectPr w:rsidR="008E5287" w:rsidRPr="00BC36FD" w:rsidSect="00C71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C06D1"/>
    <w:multiLevelType w:val="hybridMultilevel"/>
    <w:tmpl w:val="7B803B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E5287"/>
    <w:rsid w:val="008E5287"/>
    <w:rsid w:val="009E4196"/>
    <w:rsid w:val="00BC36FD"/>
    <w:rsid w:val="00C719D4"/>
    <w:rsid w:val="00F40C8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E5287"/>
    <w:pPr>
      <w:spacing w:after="0" w:line="240" w:lineRule="auto"/>
    </w:pPr>
    <w:rPr>
      <w:rFonts w:ascii="Times New Roman" w:eastAsia="NSimSun" w:hAnsi="Times New Roman" w:cs="Arial"/>
      <w:kern w:val="2"/>
      <w:sz w:val="24"/>
      <w:szCs w:val="24"/>
      <w:lang w:eastAsia="zh-CN" w:bidi="hi-IN"/>
    </w:rPr>
  </w:style>
  <w:style w:type="paragraph" w:styleId="Naslov2">
    <w:name w:val="heading 2"/>
    <w:basedOn w:val="Navaden"/>
    <w:link w:val="Naslov2Znak"/>
    <w:uiPriority w:val="9"/>
    <w:qFormat/>
    <w:rsid w:val="00F40C8D"/>
    <w:pPr>
      <w:spacing w:before="100" w:beforeAutospacing="1" w:after="100" w:afterAutospacing="1"/>
      <w:outlineLvl w:val="1"/>
    </w:pPr>
    <w:rPr>
      <w:rFonts w:eastAsia="Times New Roman" w:cs="Times New Roman"/>
      <w:b/>
      <w:bCs/>
      <w:kern w:val="0"/>
      <w:sz w:val="36"/>
      <w:szCs w:val="36"/>
      <w:lang w:eastAsia="sl-SI" w:bidi="ar-SA"/>
    </w:rPr>
  </w:style>
  <w:style w:type="character" w:default="1" w:styleId="Privzetapisavaodstavka">
    <w:name w:val="Default Paragraph Font"/>
    <w:uiPriority w:val="1"/>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BC36FD"/>
    <w:rPr>
      <w:b/>
      <w:bCs/>
    </w:rPr>
  </w:style>
  <w:style w:type="character" w:styleId="Hiperpovezava">
    <w:name w:val="Hyperlink"/>
    <w:basedOn w:val="Privzetapisavaodstavka"/>
    <w:uiPriority w:val="99"/>
    <w:unhideWhenUsed/>
    <w:rsid w:val="009E4196"/>
    <w:rPr>
      <w:color w:val="0000FF"/>
      <w:u w:val="single"/>
    </w:rPr>
  </w:style>
  <w:style w:type="paragraph" w:styleId="Odstavekseznama">
    <w:name w:val="List Paragraph"/>
    <w:basedOn w:val="Navaden"/>
    <w:uiPriority w:val="34"/>
    <w:qFormat/>
    <w:rsid w:val="009E4196"/>
    <w:pPr>
      <w:ind w:left="720"/>
      <w:contextualSpacing/>
    </w:pPr>
    <w:rPr>
      <w:rFonts w:cs="Mangal"/>
      <w:szCs w:val="21"/>
    </w:rPr>
  </w:style>
  <w:style w:type="character" w:customStyle="1" w:styleId="Naslov2Znak">
    <w:name w:val="Naslov 2 Znak"/>
    <w:basedOn w:val="Privzetapisavaodstavka"/>
    <w:link w:val="Naslov2"/>
    <w:uiPriority w:val="9"/>
    <w:rsid w:val="00F40C8D"/>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F40C8D"/>
    <w:rPr>
      <w:rFonts w:ascii="Tahoma" w:hAnsi="Tahoma" w:cs="Mangal"/>
      <w:sz w:val="16"/>
      <w:szCs w:val="14"/>
    </w:rPr>
  </w:style>
  <w:style w:type="character" w:customStyle="1" w:styleId="BesedilooblakaZnak">
    <w:name w:val="Besedilo oblačka Znak"/>
    <w:basedOn w:val="Privzetapisavaodstavka"/>
    <w:link w:val="Besedilooblaka"/>
    <w:uiPriority w:val="99"/>
    <w:semiHidden/>
    <w:rsid w:val="00F40C8D"/>
    <w:rPr>
      <w:rFonts w:ascii="Tahoma" w:eastAsia="NSimSun" w:hAnsi="Tahoma" w:cs="Mangal"/>
      <w:kern w:val="2"/>
      <w:sz w:val="16"/>
      <w:szCs w:val="1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ngle-market-economy.ec.europa.eu/document/ed80dab1-a750-4ce6-a08b-dd88528e8dbe_en" TargetMode="External"/><Relationship Id="rId3" Type="http://schemas.openxmlformats.org/officeDocument/2006/relationships/settings" Target="settings.xml"/><Relationship Id="rId7" Type="http://schemas.openxmlformats.org/officeDocument/2006/relationships/hyperlink" Target="https://single-market-economy.ec.europa.eu/document/c357af99-449a-4f2e-bc20-ca36e8dbb6a5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ngle-market-economy.ec.europa.eu/document/d1d0b38a-cec8-479d-be70-1ffae7e227a5_en"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386</Words>
  <Characters>2201</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Uporabnik</cp:lastModifiedBy>
  <cp:revision>3</cp:revision>
  <dcterms:created xsi:type="dcterms:W3CDTF">2022-09-21T18:40:00Z</dcterms:created>
  <dcterms:modified xsi:type="dcterms:W3CDTF">2022-09-21T18:55:00Z</dcterms:modified>
</cp:coreProperties>
</file>