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E0E" w:rsidRPr="00467345" w:rsidRDefault="002A7E0E" w:rsidP="002A7E0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A7E0E" w:rsidRPr="00083714" w:rsidRDefault="002A7E0E" w:rsidP="002A7E0E">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2A7E0E" w:rsidRPr="00083714" w:rsidRDefault="002A7E0E" w:rsidP="002A7E0E">
      <w:pPr>
        <w:pBdr>
          <w:bottom w:val="single" w:sz="6" w:space="1" w:color="auto"/>
        </w:pBdr>
        <w:tabs>
          <w:tab w:val="left" w:pos="3120"/>
        </w:tabs>
        <w:spacing w:before="240"/>
        <w:jc w:val="center"/>
        <w:rPr>
          <w:sz w:val="16"/>
          <w:szCs w:val="16"/>
        </w:rPr>
      </w:pPr>
    </w:p>
    <w:p w:rsidR="002A7E0E" w:rsidRDefault="002A7E0E" w:rsidP="002A7E0E">
      <w:pPr>
        <w:tabs>
          <w:tab w:val="left" w:pos="3120"/>
        </w:tabs>
        <w:spacing w:after="0"/>
        <w:rPr>
          <w:b/>
        </w:rPr>
      </w:pPr>
      <w:r w:rsidRPr="00083714">
        <w:rPr>
          <w:b/>
        </w:rPr>
        <w:tab/>
      </w:r>
      <w:r>
        <w:rPr>
          <w:b/>
        </w:rPr>
        <w:t xml:space="preserve">Občasna informacija članom 146 </w:t>
      </w:r>
      <w:r w:rsidRPr="00083714">
        <w:rPr>
          <w:b/>
        </w:rPr>
        <w:t>– 20</w:t>
      </w:r>
      <w:r>
        <w:rPr>
          <w:b/>
        </w:rPr>
        <w:t>21</w:t>
      </w:r>
    </w:p>
    <w:p w:rsidR="002A7E0E" w:rsidRDefault="002A7E0E" w:rsidP="002A7E0E">
      <w:pPr>
        <w:tabs>
          <w:tab w:val="left" w:pos="3120"/>
        </w:tabs>
        <w:spacing w:after="0"/>
        <w:jc w:val="center"/>
        <w:rPr>
          <w:b/>
        </w:rPr>
      </w:pPr>
    </w:p>
    <w:p w:rsidR="002A7E0E" w:rsidRDefault="002A7E0E" w:rsidP="002A7E0E">
      <w:pPr>
        <w:tabs>
          <w:tab w:val="left" w:pos="3120"/>
        </w:tabs>
        <w:spacing w:after="0"/>
        <w:jc w:val="center"/>
        <w:rPr>
          <w:b/>
        </w:rPr>
      </w:pPr>
      <w:r>
        <w:rPr>
          <w:b/>
        </w:rPr>
        <w:t xml:space="preserve">04. oktober </w:t>
      </w:r>
      <w:r w:rsidRPr="00083714">
        <w:rPr>
          <w:b/>
        </w:rPr>
        <w:t xml:space="preserve"> 20</w:t>
      </w:r>
      <w:r>
        <w:rPr>
          <w:b/>
        </w:rPr>
        <w:t>21</w:t>
      </w:r>
    </w:p>
    <w:p w:rsidR="002A7E0E" w:rsidRPr="00050C1F" w:rsidRDefault="002A7E0E" w:rsidP="002A7E0E">
      <w:pPr>
        <w:tabs>
          <w:tab w:val="left" w:pos="3120"/>
        </w:tabs>
        <w:spacing w:after="0"/>
        <w:jc w:val="center"/>
        <w:rPr>
          <w:b/>
        </w:rPr>
      </w:pPr>
    </w:p>
    <w:p w:rsidR="002A7E0E" w:rsidRDefault="002A7E0E" w:rsidP="002A7E0E">
      <w:pPr>
        <w:spacing w:after="0"/>
        <w:jc w:val="center"/>
        <w:rPr>
          <w:b/>
          <w:color w:val="993300"/>
          <w:sz w:val="32"/>
          <w:szCs w:val="32"/>
        </w:rPr>
      </w:pPr>
      <w:r>
        <w:rPr>
          <w:b/>
          <w:color w:val="993300"/>
          <w:sz w:val="32"/>
          <w:szCs w:val="32"/>
        </w:rPr>
        <w:t>Evropska komisija je začela izvajati pet novih misij EU, ki izhajajo iz programa Obzorje Evropa</w:t>
      </w:r>
    </w:p>
    <w:p w:rsidR="002A7E0E" w:rsidRDefault="002A7E0E" w:rsidP="002A7E0E">
      <w:pPr>
        <w:spacing w:after="0"/>
        <w:jc w:val="both"/>
        <w:rPr>
          <w:rFonts w:ascii="Arial" w:hAnsi="Arial" w:cs="Arial"/>
          <w:b/>
          <w:i/>
        </w:rPr>
      </w:pPr>
    </w:p>
    <w:p w:rsidR="00A673AA" w:rsidRPr="0044484B" w:rsidRDefault="00797F36" w:rsidP="002A7E0E">
      <w:pPr>
        <w:spacing w:after="0"/>
        <w:jc w:val="both"/>
        <w:rPr>
          <w:rFonts w:ascii="Arial" w:hAnsi="Arial" w:cs="Arial"/>
          <w:b/>
          <w:i/>
        </w:rPr>
      </w:pPr>
      <w:r w:rsidRPr="0044484B">
        <w:rPr>
          <w:rFonts w:ascii="Arial" w:hAnsi="Arial" w:cs="Arial"/>
          <w:b/>
          <w:i/>
        </w:rPr>
        <w:t xml:space="preserve">Evropska komisija je začela izvajati pet novih misij EU, ki so </w:t>
      </w:r>
      <w:r w:rsidR="0044484B" w:rsidRPr="0044484B">
        <w:rPr>
          <w:rFonts w:ascii="Arial" w:hAnsi="Arial" w:cs="Arial"/>
          <w:b/>
          <w:i/>
        </w:rPr>
        <w:t>P</w:t>
      </w:r>
      <w:r w:rsidRPr="0044484B">
        <w:rPr>
          <w:rFonts w:ascii="Arial" w:hAnsi="Arial" w:cs="Arial"/>
          <w:b/>
          <w:i/>
        </w:rPr>
        <w:t>rilagajanje podnebnim spremembam</w:t>
      </w:r>
      <w:r w:rsidR="0044484B" w:rsidRPr="0044484B">
        <w:rPr>
          <w:rFonts w:ascii="Arial" w:hAnsi="Arial" w:cs="Arial"/>
          <w:b/>
          <w:i/>
        </w:rPr>
        <w:t>, R</w:t>
      </w:r>
      <w:r w:rsidR="00A1775D" w:rsidRPr="0044484B">
        <w:rPr>
          <w:rFonts w:ascii="Arial" w:hAnsi="Arial" w:cs="Arial"/>
          <w:b/>
          <w:i/>
        </w:rPr>
        <w:t xml:space="preserve">ak, </w:t>
      </w:r>
      <w:r w:rsidR="0044484B" w:rsidRPr="0044484B">
        <w:rPr>
          <w:rFonts w:ascii="Arial" w:hAnsi="Arial" w:cs="Arial"/>
          <w:b/>
          <w:i/>
        </w:rPr>
        <w:t>O</w:t>
      </w:r>
      <w:r w:rsidR="00A1775D" w:rsidRPr="0044484B">
        <w:rPr>
          <w:rFonts w:ascii="Arial" w:hAnsi="Arial" w:cs="Arial"/>
          <w:b/>
          <w:i/>
        </w:rPr>
        <w:t>bnova naših oceanov in voda do leta 2030, 100 podnebno nevtralnih in pametnih mest do leta 2030</w:t>
      </w:r>
      <w:r w:rsidR="0044484B" w:rsidRPr="0044484B">
        <w:rPr>
          <w:rFonts w:ascii="Arial" w:hAnsi="Arial" w:cs="Arial"/>
          <w:b/>
          <w:i/>
        </w:rPr>
        <w:t xml:space="preserve"> in E</w:t>
      </w:r>
      <w:r w:rsidR="00A1775D" w:rsidRPr="0044484B">
        <w:rPr>
          <w:rFonts w:ascii="Arial" w:hAnsi="Arial" w:cs="Arial"/>
          <w:b/>
          <w:i/>
        </w:rPr>
        <w:t>vropski dogovor o tleh. Misije izhajajo iz programa Obzorje Evropa, ki jim zagotavlja začetno financiranje v višini do 1,9 milijarde evrov do leta 2023. Člani lahko dobijo več informacij na SBRA.</w:t>
      </w:r>
    </w:p>
    <w:p w:rsidR="002A7E0E" w:rsidRDefault="002A7E0E" w:rsidP="0044484B">
      <w:pPr>
        <w:jc w:val="both"/>
        <w:rPr>
          <w:rFonts w:ascii="Arial" w:hAnsi="Arial" w:cs="Arial"/>
          <w:b/>
          <w:sz w:val="20"/>
          <w:szCs w:val="20"/>
        </w:rPr>
      </w:pPr>
    </w:p>
    <w:p w:rsidR="00A1775D" w:rsidRPr="0044484B" w:rsidRDefault="00A1775D" w:rsidP="0044484B">
      <w:pPr>
        <w:jc w:val="both"/>
        <w:rPr>
          <w:rFonts w:ascii="Arial" w:hAnsi="Arial" w:cs="Arial"/>
          <w:b/>
          <w:sz w:val="20"/>
          <w:szCs w:val="20"/>
        </w:rPr>
      </w:pPr>
      <w:r w:rsidRPr="0044484B">
        <w:rPr>
          <w:rFonts w:ascii="Arial" w:hAnsi="Arial" w:cs="Arial"/>
          <w:b/>
          <w:sz w:val="20"/>
          <w:szCs w:val="20"/>
        </w:rPr>
        <w:t>Tabela 1: Pregled novih misij EU in njihovih ciljev</w:t>
      </w:r>
    </w:p>
    <w:tbl>
      <w:tblPr>
        <w:tblStyle w:val="Tabela-mrea"/>
        <w:tblW w:w="0" w:type="auto"/>
        <w:tblLook w:val="04A0"/>
      </w:tblPr>
      <w:tblGrid>
        <w:gridCol w:w="4606"/>
        <w:gridCol w:w="4606"/>
      </w:tblGrid>
      <w:tr w:rsidR="00A1775D" w:rsidRPr="0044484B" w:rsidTr="00A1775D">
        <w:tc>
          <w:tcPr>
            <w:tcW w:w="4606" w:type="dxa"/>
          </w:tcPr>
          <w:p w:rsidR="00A1775D" w:rsidRPr="0044484B" w:rsidRDefault="00A1775D" w:rsidP="0044484B">
            <w:pPr>
              <w:jc w:val="both"/>
              <w:rPr>
                <w:rFonts w:ascii="Arial" w:hAnsi="Arial" w:cs="Arial"/>
                <w:b/>
                <w:sz w:val="20"/>
                <w:szCs w:val="20"/>
              </w:rPr>
            </w:pPr>
            <w:r w:rsidRPr="0044484B">
              <w:rPr>
                <w:rFonts w:ascii="Arial" w:hAnsi="Arial" w:cs="Arial"/>
                <w:b/>
                <w:sz w:val="20"/>
                <w:szCs w:val="20"/>
              </w:rPr>
              <w:t>Misija</w:t>
            </w:r>
          </w:p>
        </w:tc>
        <w:tc>
          <w:tcPr>
            <w:tcW w:w="4606" w:type="dxa"/>
          </w:tcPr>
          <w:p w:rsidR="00A1775D" w:rsidRPr="0044484B" w:rsidRDefault="00A1775D" w:rsidP="0044484B">
            <w:pPr>
              <w:jc w:val="both"/>
              <w:rPr>
                <w:rFonts w:ascii="Arial" w:hAnsi="Arial" w:cs="Arial"/>
                <w:b/>
                <w:sz w:val="20"/>
                <w:szCs w:val="20"/>
              </w:rPr>
            </w:pPr>
            <w:r w:rsidRPr="0044484B">
              <w:rPr>
                <w:rFonts w:ascii="Arial" w:hAnsi="Arial" w:cs="Arial"/>
                <w:b/>
                <w:sz w:val="20"/>
                <w:szCs w:val="20"/>
              </w:rPr>
              <w:t>Cilji</w:t>
            </w:r>
          </w:p>
        </w:tc>
      </w:tr>
      <w:tr w:rsidR="00A1775D" w:rsidRPr="00DE3043" w:rsidTr="00A1775D">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Prilagajanje podnebnim spremembam: podpora najmanj 150 evropskih regijam in skupnostim, da bodo do leta 2030 postale odporne proti podnebnim spremembam</w:t>
            </w:r>
          </w:p>
        </w:tc>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Podpirala bo evropske regije, da bodo pripravljene na neizogibne spremembe in ekstremne dogodke, ter omogočala izmenjavo izkušenj in rešitev za preprečevanje izgube življenj in možnosti preživljanja.</w:t>
            </w:r>
          </w:p>
        </w:tc>
      </w:tr>
      <w:tr w:rsidR="00A1775D" w:rsidRPr="00DE3043" w:rsidTr="00A1775D">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Rak: izboljšanje življenja več kot treh milijonov ljudi do leta 2030 s preprečevanjem in zdravljenjem ter omogočanjem daljšega in boljšega življenja za tiste, ki jih je prizadel rak, vključno z njihovo družino.</w:t>
            </w:r>
          </w:p>
        </w:tc>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Misija bo podpirala države članice, regije in skupnosti pri obvladovanju raka, še zlasti glede na motnje zaradi pandemije COVID-19.  Pri tej misiji bodo državljani, vključno z bolniki, v središču raziskav in inovacij, raziskave in inovacije pa v središču oblikovanja politik.</w:t>
            </w:r>
          </w:p>
        </w:tc>
      </w:tr>
      <w:tr w:rsidR="00A1775D" w:rsidRPr="00DE3043" w:rsidTr="00A1775D">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Obnova naših oceanov in voda do leta 2030</w:t>
            </w:r>
          </w:p>
        </w:tc>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V tej misiji bo nov, sistemski pristop ponudil hkratne rešitve za oceane in vode ter bo imel ključno vlogo pri doseganju podnebne nevtralnosti in obnovi narave.</w:t>
            </w:r>
          </w:p>
        </w:tc>
      </w:tr>
      <w:tr w:rsidR="00A1775D" w:rsidRPr="00DE3043" w:rsidTr="00A1775D">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100 podnebno nevtralnih in pametnih mest do leta 2030</w:t>
            </w:r>
          </w:p>
        </w:tc>
        <w:tc>
          <w:tcPr>
            <w:tcW w:w="4606" w:type="dxa"/>
          </w:tcPr>
          <w:p w:rsidR="00A1775D" w:rsidRPr="00DE3043" w:rsidRDefault="00A1775D" w:rsidP="0044484B">
            <w:pPr>
              <w:jc w:val="both"/>
              <w:rPr>
                <w:rFonts w:ascii="Arial" w:hAnsi="Arial" w:cs="Arial"/>
                <w:sz w:val="18"/>
                <w:szCs w:val="18"/>
              </w:rPr>
            </w:pPr>
            <w:r w:rsidRPr="00DE3043">
              <w:rPr>
                <w:rFonts w:ascii="Arial" w:hAnsi="Arial" w:cs="Arial"/>
                <w:sz w:val="18"/>
                <w:szCs w:val="18"/>
              </w:rPr>
              <w:t>S pogodbami o podnebno nevtralnem mestu, v katerih tesno sodelujejo državljani, bo najmanj 100 mest dobilo podporo v svojih ambicijah, da bi do leta 2030 postala podnebno nevtralna. Imela bodo vodilno vlogo pri podnebnih in digitalnih inovacijah ter bodo predstavila rešitve, s pomočjo katerih jim bodo do leta 2050 sledila še vsa druga mesta.</w:t>
            </w:r>
          </w:p>
        </w:tc>
      </w:tr>
      <w:tr w:rsidR="00A1775D" w:rsidRPr="00DE3043" w:rsidTr="002A7E0E">
        <w:trPr>
          <w:trHeight w:val="850"/>
        </w:trPr>
        <w:tc>
          <w:tcPr>
            <w:tcW w:w="4606" w:type="dxa"/>
          </w:tcPr>
          <w:p w:rsidR="00A1775D" w:rsidRPr="00DE3043" w:rsidRDefault="00201765" w:rsidP="0044484B">
            <w:pPr>
              <w:jc w:val="both"/>
              <w:rPr>
                <w:rFonts w:ascii="Arial" w:hAnsi="Arial" w:cs="Arial"/>
                <w:sz w:val="18"/>
                <w:szCs w:val="18"/>
              </w:rPr>
            </w:pPr>
            <w:r w:rsidRPr="00DE3043">
              <w:rPr>
                <w:rFonts w:ascii="Arial" w:hAnsi="Arial" w:cs="Arial"/>
                <w:sz w:val="18"/>
                <w:szCs w:val="18"/>
              </w:rPr>
              <w:t>Evropski dogovor o tleh: 100 živih laboratorijev in svetilnikov, ki bodo na čelu prehoda v zdrava tla do leta 2030</w:t>
            </w:r>
          </w:p>
        </w:tc>
        <w:tc>
          <w:tcPr>
            <w:tcW w:w="4606" w:type="dxa"/>
          </w:tcPr>
          <w:p w:rsidR="00A1775D" w:rsidRPr="00DE3043" w:rsidRDefault="00201765" w:rsidP="0044484B">
            <w:pPr>
              <w:jc w:val="both"/>
              <w:rPr>
                <w:rFonts w:ascii="Arial" w:hAnsi="Arial" w:cs="Arial"/>
                <w:sz w:val="18"/>
                <w:szCs w:val="18"/>
              </w:rPr>
            </w:pPr>
            <w:r w:rsidRPr="00DE3043">
              <w:rPr>
                <w:rFonts w:ascii="Arial" w:hAnsi="Arial" w:cs="Arial"/>
                <w:sz w:val="18"/>
                <w:szCs w:val="18"/>
              </w:rPr>
              <w:t>Misija bo navezala stike z ljudmi, ustvarjala učinkovita partnerstva v vseh sektorjih in na vseh ozemljih za zaščito in obnovo tal. Prispevala bo k ciljem zelenega dogovora v zvezi s trajnostnim kmetovanjem, odpornostjo proti podnebnim spremembam, biotsko raznovrstnostjo in ničelnim onesnaževanjem</w:t>
            </w:r>
          </w:p>
        </w:tc>
      </w:tr>
    </w:tbl>
    <w:p w:rsidR="00A1775D" w:rsidRPr="0044484B" w:rsidRDefault="00201765" w:rsidP="0044484B">
      <w:pPr>
        <w:jc w:val="both"/>
        <w:rPr>
          <w:rFonts w:ascii="Arial" w:hAnsi="Arial" w:cs="Arial"/>
          <w:sz w:val="20"/>
          <w:szCs w:val="20"/>
        </w:rPr>
      </w:pPr>
      <w:r w:rsidRPr="0044484B">
        <w:rPr>
          <w:rFonts w:ascii="Arial" w:hAnsi="Arial" w:cs="Arial"/>
          <w:sz w:val="20"/>
          <w:szCs w:val="20"/>
        </w:rPr>
        <w:t>Vir: Evropska komisija</w:t>
      </w:r>
    </w:p>
    <w:p w:rsidR="0063513E" w:rsidRPr="0044484B" w:rsidRDefault="0063513E" w:rsidP="0044484B">
      <w:pPr>
        <w:jc w:val="both"/>
        <w:rPr>
          <w:rFonts w:ascii="Arial" w:hAnsi="Arial" w:cs="Arial"/>
          <w:sz w:val="20"/>
          <w:szCs w:val="20"/>
        </w:rPr>
      </w:pPr>
      <w:r w:rsidRPr="0044484B">
        <w:rPr>
          <w:rFonts w:ascii="Arial" w:hAnsi="Arial" w:cs="Arial"/>
          <w:sz w:val="20"/>
          <w:szCs w:val="20"/>
        </w:rPr>
        <w:lastRenderedPageBreak/>
        <w:t>Misije se začnejo s konkretnim, dosegljivim ciljem in bodo okrog sebe zbrale vse akterje: različne ravni države, raziskovalce in inovatorje, mala in velika podjetja, vlagatelje in civilno družbo. Prvi delovni program Obzorje Evropa za obdobje 2021–22, ki je bil objavljen junija 2021, zajema ukrepe, ki dajejo podlago za izvajanje misij. Do konca tega leta bo posodobljen s celotno agendo raziskav in inovacij.</w:t>
      </w:r>
    </w:p>
    <w:p w:rsidR="0063513E" w:rsidRPr="0044484B" w:rsidRDefault="0063513E" w:rsidP="0044484B">
      <w:pPr>
        <w:jc w:val="both"/>
        <w:rPr>
          <w:rFonts w:ascii="Arial" w:hAnsi="Arial" w:cs="Arial"/>
          <w:b/>
          <w:sz w:val="20"/>
          <w:szCs w:val="20"/>
        </w:rPr>
      </w:pPr>
      <w:r w:rsidRPr="0044484B">
        <w:rPr>
          <w:rFonts w:ascii="Arial" w:hAnsi="Arial" w:cs="Arial"/>
          <w:b/>
          <w:sz w:val="20"/>
          <w:szCs w:val="20"/>
        </w:rPr>
        <w:t>Koristne informacije:</w:t>
      </w:r>
    </w:p>
    <w:p w:rsidR="0063513E" w:rsidRPr="0044484B" w:rsidRDefault="0063513E" w:rsidP="0044484B">
      <w:pPr>
        <w:pStyle w:val="Odstavekseznama"/>
        <w:numPr>
          <w:ilvl w:val="0"/>
          <w:numId w:val="1"/>
        </w:numPr>
        <w:jc w:val="both"/>
        <w:rPr>
          <w:rFonts w:ascii="Arial" w:hAnsi="Arial" w:cs="Arial"/>
          <w:sz w:val="20"/>
          <w:szCs w:val="20"/>
        </w:rPr>
      </w:pPr>
      <w:r w:rsidRPr="0044484B">
        <w:rPr>
          <w:rFonts w:ascii="Arial" w:hAnsi="Arial" w:cs="Arial"/>
          <w:sz w:val="20"/>
          <w:szCs w:val="20"/>
        </w:rPr>
        <w:t>Sporočilo Evropske komisije o misijah EU:</w:t>
      </w:r>
    </w:p>
    <w:p w:rsidR="0063513E" w:rsidRPr="0044484B" w:rsidRDefault="0063513E" w:rsidP="0044484B">
      <w:pPr>
        <w:pStyle w:val="Odstavekseznama"/>
        <w:numPr>
          <w:ilvl w:val="0"/>
          <w:numId w:val="1"/>
        </w:numPr>
        <w:jc w:val="both"/>
        <w:rPr>
          <w:rFonts w:ascii="Arial" w:hAnsi="Arial" w:cs="Arial"/>
          <w:sz w:val="20"/>
          <w:szCs w:val="20"/>
        </w:rPr>
      </w:pPr>
      <w:hyperlink r:id="rId6" w:history="1">
        <w:r w:rsidRPr="0044484B">
          <w:rPr>
            <w:rStyle w:val="Hiperpovezava"/>
            <w:rFonts w:ascii="Arial" w:hAnsi="Arial" w:cs="Arial"/>
            <w:sz w:val="20"/>
            <w:szCs w:val="20"/>
          </w:rPr>
          <w:t>https://ec.europa.eu/info/files/communication-commission-european-missions_sl</w:t>
        </w:r>
      </w:hyperlink>
    </w:p>
    <w:p w:rsidR="0063513E" w:rsidRPr="0044484B" w:rsidRDefault="0063513E" w:rsidP="0044484B">
      <w:pPr>
        <w:pStyle w:val="Odstavekseznama"/>
        <w:numPr>
          <w:ilvl w:val="0"/>
          <w:numId w:val="1"/>
        </w:numPr>
        <w:jc w:val="both"/>
        <w:rPr>
          <w:rFonts w:ascii="Arial" w:hAnsi="Arial" w:cs="Arial"/>
          <w:sz w:val="20"/>
          <w:szCs w:val="20"/>
        </w:rPr>
      </w:pPr>
      <w:r w:rsidRPr="0044484B">
        <w:rPr>
          <w:rFonts w:ascii="Arial" w:hAnsi="Arial" w:cs="Arial"/>
          <w:sz w:val="20"/>
          <w:szCs w:val="20"/>
        </w:rPr>
        <w:t>Načrti izvajanja za misije EU:</w:t>
      </w:r>
    </w:p>
    <w:p w:rsidR="0063513E" w:rsidRPr="0044484B" w:rsidRDefault="0063513E" w:rsidP="0044484B">
      <w:pPr>
        <w:pStyle w:val="Odstavekseznama"/>
        <w:numPr>
          <w:ilvl w:val="0"/>
          <w:numId w:val="1"/>
        </w:numPr>
        <w:jc w:val="both"/>
        <w:rPr>
          <w:rFonts w:ascii="Arial" w:hAnsi="Arial" w:cs="Arial"/>
          <w:sz w:val="20"/>
          <w:szCs w:val="20"/>
        </w:rPr>
      </w:pPr>
      <w:hyperlink r:id="rId7" w:history="1">
        <w:r w:rsidRPr="0044484B">
          <w:rPr>
            <w:rStyle w:val="Hiperpovezava"/>
            <w:rFonts w:ascii="Arial" w:hAnsi="Arial" w:cs="Arial"/>
            <w:sz w:val="20"/>
            <w:szCs w:val="20"/>
          </w:rPr>
          <w:t>https://ec.europa.eu/info/publications/implementation-plans-eu-missions_sl</w:t>
        </w:r>
      </w:hyperlink>
    </w:p>
    <w:p w:rsidR="0063513E" w:rsidRPr="0044484B" w:rsidRDefault="0063513E" w:rsidP="0044484B">
      <w:pPr>
        <w:pStyle w:val="Odstavekseznama"/>
        <w:numPr>
          <w:ilvl w:val="0"/>
          <w:numId w:val="1"/>
        </w:numPr>
        <w:jc w:val="both"/>
        <w:rPr>
          <w:rFonts w:ascii="Arial" w:hAnsi="Arial" w:cs="Arial"/>
          <w:sz w:val="20"/>
          <w:szCs w:val="20"/>
        </w:rPr>
      </w:pPr>
      <w:r w:rsidRPr="0044484B">
        <w:rPr>
          <w:rFonts w:ascii="Arial" w:hAnsi="Arial" w:cs="Arial"/>
          <w:sz w:val="20"/>
          <w:szCs w:val="20"/>
        </w:rPr>
        <w:t>Spletna stran z informacijami o misijah EU:</w:t>
      </w:r>
    </w:p>
    <w:p w:rsidR="00201765" w:rsidRPr="0044484B" w:rsidRDefault="0063513E" w:rsidP="0044484B">
      <w:pPr>
        <w:pStyle w:val="Odstavekseznama"/>
        <w:numPr>
          <w:ilvl w:val="0"/>
          <w:numId w:val="1"/>
        </w:numPr>
        <w:jc w:val="both"/>
        <w:rPr>
          <w:rFonts w:ascii="Arial" w:hAnsi="Arial" w:cs="Arial"/>
          <w:sz w:val="20"/>
          <w:szCs w:val="20"/>
        </w:rPr>
      </w:pPr>
      <w:hyperlink r:id="rId8" w:history="1">
        <w:r w:rsidRPr="0044484B">
          <w:rPr>
            <w:rStyle w:val="Hiperpovezava"/>
            <w:rFonts w:ascii="Arial" w:hAnsi="Arial" w:cs="Arial"/>
            <w:sz w:val="20"/>
            <w:szCs w:val="20"/>
          </w:rPr>
          <w:t>https://ec.europa.eu/info/research-and-innovation/funding/funding-opportunities/funding-programmes-and-open-calls/horizon-europe/missions-horizon-europe_sl</w:t>
        </w:r>
      </w:hyperlink>
    </w:p>
    <w:p w:rsidR="0063513E" w:rsidRPr="0044484B" w:rsidRDefault="0063513E" w:rsidP="002A7E0E">
      <w:pPr>
        <w:spacing w:after="0"/>
        <w:jc w:val="both"/>
        <w:rPr>
          <w:rFonts w:ascii="Arial" w:hAnsi="Arial" w:cs="Arial"/>
          <w:sz w:val="20"/>
          <w:szCs w:val="20"/>
        </w:rPr>
      </w:pPr>
      <w:r w:rsidRPr="0044484B">
        <w:rPr>
          <w:rFonts w:ascii="Arial" w:hAnsi="Arial" w:cs="Arial"/>
          <w:sz w:val="20"/>
          <w:szCs w:val="20"/>
        </w:rPr>
        <w:t>Pripravila:</w:t>
      </w:r>
    </w:p>
    <w:p w:rsidR="0063513E" w:rsidRPr="0044484B" w:rsidRDefault="0063513E" w:rsidP="002A7E0E">
      <w:pPr>
        <w:spacing w:after="0"/>
        <w:jc w:val="both"/>
        <w:rPr>
          <w:rFonts w:ascii="Arial" w:hAnsi="Arial" w:cs="Arial"/>
          <w:sz w:val="20"/>
          <w:szCs w:val="20"/>
        </w:rPr>
      </w:pPr>
      <w:r w:rsidRPr="0044484B">
        <w:rPr>
          <w:rFonts w:ascii="Arial" w:hAnsi="Arial" w:cs="Arial"/>
          <w:sz w:val="20"/>
          <w:szCs w:val="20"/>
        </w:rPr>
        <w:t>Darja Kocbek</w:t>
      </w:r>
    </w:p>
    <w:sectPr w:rsidR="0063513E" w:rsidRPr="0044484B" w:rsidSect="00A673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099A"/>
    <w:multiLevelType w:val="hybridMultilevel"/>
    <w:tmpl w:val="33C0D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7F36"/>
    <w:rsid w:val="00201765"/>
    <w:rsid w:val="002A7E0E"/>
    <w:rsid w:val="0044484B"/>
    <w:rsid w:val="0063513E"/>
    <w:rsid w:val="00797F36"/>
    <w:rsid w:val="00A1775D"/>
    <w:rsid w:val="00A673AA"/>
    <w:rsid w:val="00DE304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673AA"/>
  </w:style>
  <w:style w:type="paragraph" w:styleId="Naslov2">
    <w:name w:val="heading 2"/>
    <w:basedOn w:val="Navaden"/>
    <w:link w:val="Naslov2Znak"/>
    <w:uiPriority w:val="9"/>
    <w:qFormat/>
    <w:rsid w:val="002A7E0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97F36"/>
    <w:rPr>
      <w:color w:val="0000FF"/>
      <w:u w:val="single"/>
    </w:rPr>
  </w:style>
  <w:style w:type="character" w:styleId="Krepko">
    <w:name w:val="Strong"/>
    <w:basedOn w:val="Privzetapisavaodstavka"/>
    <w:uiPriority w:val="22"/>
    <w:qFormat/>
    <w:rsid w:val="00797F36"/>
    <w:rPr>
      <w:b/>
      <w:bCs/>
    </w:rPr>
  </w:style>
  <w:style w:type="table" w:styleId="Tabela-mrea">
    <w:name w:val="Table Grid"/>
    <w:basedOn w:val="Navadnatabela"/>
    <w:uiPriority w:val="59"/>
    <w:rsid w:val="00A177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vadensplet">
    <w:name w:val="Normal (Web)"/>
    <w:basedOn w:val="Navaden"/>
    <w:uiPriority w:val="99"/>
    <w:semiHidden/>
    <w:unhideWhenUsed/>
    <w:rsid w:val="0063513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44484B"/>
    <w:pPr>
      <w:ind w:left="720"/>
      <w:contextualSpacing/>
    </w:pPr>
  </w:style>
  <w:style w:type="character" w:customStyle="1" w:styleId="Naslov2Znak">
    <w:name w:val="Naslov 2 Znak"/>
    <w:basedOn w:val="Privzetapisavaodstavka"/>
    <w:link w:val="Naslov2"/>
    <w:uiPriority w:val="9"/>
    <w:rsid w:val="002A7E0E"/>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A7E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7E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2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funding/funding-opportunities/funding-programmes-and-open-calls/horizon-europe/missions-horizon-europe_sl" TargetMode="External"/><Relationship Id="rId3" Type="http://schemas.openxmlformats.org/officeDocument/2006/relationships/settings" Target="settings.xml"/><Relationship Id="rId7" Type="http://schemas.openxmlformats.org/officeDocument/2006/relationships/hyperlink" Target="https://ec.europa.eu/info/publications/implementation-plans-eu-mission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unication-commission-european-missions_s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568</Words>
  <Characters>3238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2021-09-29T18:19:00Z</dcterms:created>
  <dcterms:modified xsi:type="dcterms:W3CDTF">2021-09-29T18:42:00Z</dcterms:modified>
</cp:coreProperties>
</file>