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028" w:rsidRPr="00467345" w:rsidRDefault="00371028" w:rsidP="00371028">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371028" w:rsidRPr="00301C78" w:rsidRDefault="00371028" w:rsidP="00371028">
      <w:pPr>
        <w:pStyle w:val="Naslov2"/>
        <w:tabs>
          <w:tab w:val="left" w:pos="3120"/>
        </w:tabs>
        <w:spacing w:before="0"/>
        <w:jc w:val="center"/>
        <w:rPr>
          <w:sz w:val="22"/>
        </w:rPr>
      </w:pPr>
      <w:r w:rsidRPr="00083714">
        <w:rPr>
          <w:sz w:val="22"/>
        </w:rPr>
        <w:t>Slovensko gospodarsko in raziskovalno združenje, Bruselj</w:t>
      </w:r>
    </w:p>
    <w:p w:rsidR="00371028" w:rsidRPr="00083714" w:rsidRDefault="00371028" w:rsidP="00371028">
      <w:pPr>
        <w:pBdr>
          <w:bottom w:val="single" w:sz="6" w:space="1" w:color="auto"/>
        </w:pBdr>
        <w:tabs>
          <w:tab w:val="left" w:pos="3120"/>
        </w:tabs>
        <w:spacing w:before="240"/>
        <w:rPr>
          <w:sz w:val="16"/>
          <w:szCs w:val="16"/>
        </w:rPr>
      </w:pPr>
    </w:p>
    <w:p w:rsidR="00371028" w:rsidRDefault="00371028" w:rsidP="00371028">
      <w:pPr>
        <w:tabs>
          <w:tab w:val="left" w:pos="3120"/>
        </w:tabs>
        <w:spacing w:before="240"/>
        <w:jc w:val="center"/>
        <w:rPr>
          <w:b/>
        </w:rPr>
      </w:pPr>
      <w:r>
        <w:rPr>
          <w:b/>
        </w:rPr>
        <w:t xml:space="preserve">Občasna informacija članom 146 </w:t>
      </w:r>
      <w:r w:rsidRPr="00083714">
        <w:rPr>
          <w:b/>
        </w:rPr>
        <w:t>– 20</w:t>
      </w:r>
      <w:r>
        <w:rPr>
          <w:b/>
        </w:rPr>
        <w:t>23</w:t>
      </w:r>
    </w:p>
    <w:p w:rsidR="00371028" w:rsidRDefault="00371028" w:rsidP="00371028">
      <w:pPr>
        <w:tabs>
          <w:tab w:val="left" w:pos="3120"/>
        </w:tabs>
        <w:spacing w:before="240"/>
        <w:jc w:val="center"/>
        <w:rPr>
          <w:b/>
        </w:rPr>
      </w:pPr>
      <w:r>
        <w:rPr>
          <w:b/>
        </w:rPr>
        <w:t xml:space="preserve">25. september </w:t>
      </w:r>
      <w:r w:rsidRPr="00083714">
        <w:rPr>
          <w:b/>
        </w:rPr>
        <w:t xml:space="preserve"> 20</w:t>
      </w:r>
      <w:r>
        <w:rPr>
          <w:b/>
        </w:rPr>
        <w:t>23</w:t>
      </w:r>
    </w:p>
    <w:p w:rsidR="00371028" w:rsidRDefault="00371028" w:rsidP="00371028">
      <w:pPr>
        <w:jc w:val="both"/>
        <w:rPr>
          <w:rFonts w:ascii="Arial" w:hAnsi="Arial"/>
          <w:b/>
          <w:color w:val="993300"/>
          <w:sz w:val="32"/>
          <w:szCs w:val="32"/>
        </w:rPr>
      </w:pPr>
    </w:p>
    <w:p w:rsidR="00371028" w:rsidRDefault="00371028" w:rsidP="00371028">
      <w:pPr>
        <w:jc w:val="center"/>
        <w:rPr>
          <w:rFonts w:ascii="Arial" w:hAnsi="Arial"/>
          <w:b/>
          <w:i/>
          <w:sz w:val="22"/>
          <w:szCs w:val="22"/>
        </w:rPr>
      </w:pPr>
      <w:r>
        <w:rPr>
          <w:rFonts w:ascii="Arial" w:hAnsi="Arial"/>
          <w:b/>
          <w:color w:val="993300"/>
          <w:sz w:val="32"/>
          <w:szCs w:val="32"/>
        </w:rPr>
        <w:t>V veljavo je stopila evropska uredba o čipih</w:t>
      </w:r>
    </w:p>
    <w:p w:rsidR="00371028" w:rsidRDefault="00371028" w:rsidP="00371028">
      <w:pPr>
        <w:jc w:val="both"/>
        <w:rPr>
          <w:rFonts w:ascii="Arial" w:hAnsi="Arial"/>
          <w:b/>
          <w:i/>
          <w:sz w:val="22"/>
          <w:szCs w:val="22"/>
        </w:rPr>
      </w:pPr>
    </w:p>
    <w:p w:rsidR="004A3FEA" w:rsidRPr="00371028" w:rsidRDefault="004A3FEA" w:rsidP="00371028">
      <w:pPr>
        <w:jc w:val="both"/>
        <w:rPr>
          <w:rFonts w:ascii="Arial" w:hAnsi="Arial"/>
          <w:b/>
          <w:i/>
          <w:sz w:val="22"/>
          <w:szCs w:val="22"/>
        </w:rPr>
      </w:pPr>
      <w:r w:rsidRPr="00371028">
        <w:rPr>
          <w:rFonts w:ascii="Arial" w:hAnsi="Arial"/>
          <w:b/>
          <w:i/>
          <w:sz w:val="22"/>
          <w:szCs w:val="22"/>
        </w:rPr>
        <w:t xml:space="preserve">V veljavo je stopila evropska uredba o </w:t>
      </w:r>
      <w:r w:rsidR="00371028">
        <w:rPr>
          <w:rFonts w:ascii="Arial" w:hAnsi="Arial"/>
          <w:b/>
          <w:i/>
          <w:sz w:val="22"/>
          <w:szCs w:val="22"/>
        </w:rPr>
        <w:t>čipih</w:t>
      </w:r>
      <w:r w:rsidRPr="00371028">
        <w:rPr>
          <w:rFonts w:ascii="Arial" w:hAnsi="Arial"/>
          <w:b/>
          <w:i/>
          <w:sz w:val="22"/>
          <w:szCs w:val="22"/>
        </w:rPr>
        <w:t>, pa tudi uredba o skupnem podjetju Čipi, ki omogoča začetek izvajanja glavnega dela pobude Čipi za Evropo. Poleg tega bo začel delovati tudi Sklad za čipe. Z začetkom veljavnosti akta o čipih se bo uradno začelo tudi delo novoustanovljenega Evropskega odbora za polprevodnike, ki bo ključna platforma za usklajevanje med Evropsko komisijo, državami članicami in zainteresiranimi stranmi. Člani lahko dobijo več informacij na SBRA.</w:t>
      </w:r>
    </w:p>
    <w:p w:rsidR="004A3FEA" w:rsidRPr="00371028" w:rsidRDefault="004A3FEA" w:rsidP="00371028">
      <w:pPr>
        <w:jc w:val="both"/>
        <w:rPr>
          <w:rFonts w:ascii="Arial" w:hAnsi="Arial"/>
          <w:sz w:val="20"/>
          <w:szCs w:val="20"/>
        </w:rPr>
      </w:pPr>
    </w:p>
    <w:p w:rsidR="004A3FEA" w:rsidRPr="00371028" w:rsidRDefault="004A3FEA" w:rsidP="00371028">
      <w:pPr>
        <w:jc w:val="both"/>
        <w:rPr>
          <w:rFonts w:ascii="Arial" w:hAnsi="Arial"/>
          <w:b/>
          <w:sz w:val="20"/>
          <w:szCs w:val="20"/>
        </w:rPr>
      </w:pPr>
      <w:r w:rsidRPr="00371028">
        <w:rPr>
          <w:rFonts w:ascii="Arial" w:hAnsi="Arial"/>
          <w:b/>
          <w:sz w:val="20"/>
          <w:szCs w:val="20"/>
        </w:rPr>
        <w:t xml:space="preserve">Tabela 1: Trije stebri uredbe o </w:t>
      </w:r>
      <w:r w:rsidR="00371028">
        <w:rPr>
          <w:rFonts w:ascii="Arial" w:hAnsi="Arial"/>
          <w:b/>
          <w:sz w:val="20"/>
          <w:szCs w:val="20"/>
        </w:rPr>
        <w:t>čipih</w:t>
      </w:r>
    </w:p>
    <w:p w:rsidR="004A3FEA" w:rsidRPr="00371028" w:rsidRDefault="004A3FEA" w:rsidP="00371028">
      <w:pPr>
        <w:jc w:val="both"/>
        <w:rPr>
          <w:rFonts w:ascii="Arial" w:hAnsi="Arial"/>
          <w:sz w:val="20"/>
          <w:szCs w:val="20"/>
        </w:rPr>
      </w:pPr>
    </w:p>
    <w:tbl>
      <w:tblPr>
        <w:tblStyle w:val="Tabela-mrea"/>
        <w:tblW w:w="0" w:type="auto"/>
        <w:tblLook w:val="04A0"/>
      </w:tblPr>
      <w:tblGrid>
        <w:gridCol w:w="4606"/>
        <w:gridCol w:w="4606"/>
      </w:tblGrid>
      <w:tr w:rsidR="004A3FEA" w:rsidRPr="00371028" w:rsidTr="004A3FEA">
        <w:tc>
          <w:tcPr>
            <w:tcW w:w="4606" w:type="dxa"/>
          </w:tcPr>
          <w:p w:rsidR="004A3FEA" w:rsidRPr="00371028" w:rsidRDefault="004A3FEA" w:rsidP="00371028">
            <w:pPr>
              <w:jc w:val="both"/>
              <w:rPr>
                <w:rFonts w:ascii="Arial" w:hAnsi="Arial"/>
                <w:b/>
                <w:sz w:val="20"/>
                <w:szCs w:val="20"/>
              </w:rPr>
            </w:pPr>
            <w:r w:rsidRPr="00371028">
              <w:rPr>
                <w:rFonts w:ascii="Arial" w:hAnsi="Arial"/>
                <w:b/>
                <w:sz w:val="20"/>
                <w:szCs w:val="20"/>
              </w:rPr>
              <w:t>Steber</w:t>
            </w:r>
          </w:p>
        </w:tc>
        <w:tc>
          <w:tcPr>
            <w:tcW w:w="4606" w:type="dxa"/>
          </w:tcPr>
          <w:p w:rsidR="004A3FEA" w:rsidRPr="00371028" w:rsidRDefault="004A3FEA" w:rsidP="00371028">
            <w:pPr>
              <w:jc w:val="both"/>
              <w:rPr>
                <w:rFonts w:ascii="Arial" w:hAnsi="Arial"/>
                <w:b/>
                <w:sz w:val="20"/>
                <w:szCs w:val="20"/>
              </w:rPr>
            </w:pPr>
            <w:r w:rsidRPr="00371028">
              <w:rPr>
                <w:rFonts w:ascii="Arial" w:hAnsi="Arial"/>
                <w:b/>
                <w:sz w:val="20"/>
                <w:szCs w:val="20"/>
              </w:rPr>
              <w:t>Opis</w:t>
            </w:r>
          </w:p>
        </w:tc>
      </w:tr>
      <w:tr w:rsidR="004A3FEA" w:rsidRPr="00371028" w:rsidTr="004A3FEA">
        <w:tc>
          <w:tcPr>
            <w:tcW w:w="4606" w:type="dxa"/>
          </w:tcPr>
          <w:p w:rsidR="004A3FEA" w:rsidRPr="00371028" w:rsidRDefault="004A3FEA" w:rsidP="00371028">
            <w:pPr>
              <w:jc w:val="both"/>
              <w:rPr>
                <w:rFonts w:ascii="Arial" w:hAnsi="Arial"/>
                <w:sz w:val="20"/>
                <w:szCs w:val="20"/>
              </w:rPr>
            </w:pPr>
            <w:r w:rsidRPr="00371028">
              <w:rPr>
                <w:rFonts w:ascii="Arial" w:hAnsi="Arial"/>
                <w:sz w:val="20"/>
                <w:szCs w:val="20"/>
              </w:rPr>
              <w:t>Pobuda čipi za Evropo</w:t>
            </w:r>
          </w:p>
        </w:tc>
        <w:tc>
          <w:tcPr>
            <w:tcW w:w="4606" w:type="dxa"/>
          </w:tcPr>
          <w:p w:rsidR="004A3FEA" w:rsidRPr="00371028" w:rsidRDefault="004A3FEA" w:rsidP="00371028">
            <w:pPr>
              <w:jc w:val="both"/>
              <w:rPr>
                <w:rFonts w:ascii="Arial" w:hAnsi="Arial"/>
                <w:sz w:val="20"/>
                <w:szCs w:val="20"/>
              </w:rPr>
            </w:pPr>
            <w:r w:rsidRPr="00371028">
              <w:rPr>
                <w:rFonts w:ascii="Arial" w:hAnsi="Arial"/>
                <w:sz w:val="20"/>
                <w:szCs w:val="20"/>
              </w:rPr>
              <w:t>Njen namen je omogočiti prenos znanja iz laboratorija v tovarno, zapolniti vrzel med raziskavami in inovacijami ter industrijskimi dejavnostmi in spodbujati industrializacijo inovativnih tehnologij v evropskih podjetjih. Pobudo Čipi za Evropo bo izvajalo predvsem Skupno podjetje Čipi.</w:t>
            </w:r>
          </w:p>
        </w:tc>
      </w:tr>
      <w:tr w:rsidR="004A3FEA" w:rsidRPr="00371028" w:rsidTr="004A3FEA">
        <w:tc>
          <w:tcPr>
            <w:tcW w:w="4606" w:type="dxa"/>
          </w:tcPr>
          <w:p w:rsidR="004A3FEA" w:rsidRPr="00371028" w:rsidRDefault="004A3FEA" w:rsidP="00371028">
            <w:pPr>
              <w:jc w:val="both"/>
              <w:rPr>
                <w:rFonts w:ascii="Arial" w:hAnsi="Arial"/>
                <w:sz w:val="20"/>
                <w:szCs w:val="20"/>
              </w:rPr>
            </w:pPr>
            <w:r w:rsidRPr="00371028">
              <w:rPr>
                <w:rFonts w:ascii="Arial" w:hAnsi="Arial"/>
                <w:sz w:val="20"/>
                <w:szCs w:val="20"/>
              </w:rPr>
              <w:t>Drugi steber evropskega akta o čipih spodbuja javne in zasebne naložbe v proizvodne zmogljivosti za proizvajalce čipov in njihove dobavitelje.</w:t>
            </w:r>
          </w:p>
        </w:tc>
        <w:tc>
          <w:tcPr>
            <w:tcW w:w="4606" w:type="dxa"/>
          </w:tcPr>
          <w:p w:rsidR="004A3FEA" w:rsidRPr="00371028" w:rsidRDefault="004A3FEA" w:rsidP="00371028">
            <w:pPr>
              <w:jc w:val="both"/>
              <w:rPr>
                <w:rFonts w:ascii="Arial" w:hAnsi="Arial"/>
                <w:sz w:val="20"/>
                <w:szCs w:val="20"/>
              </w:rPr>
            </w:pPr>
            <w:r w:rsidRPr="00371028">
              <w:rPr>
                <w:rFonts w:ascii="Arial" w:hAnsi="Arial"/>
                <w:sz w:val="20"/>
                <w:szCs w:val="20"/>
              </w:rPr>
              <w:t>Določa okvir za integrirane proizvodne zmogljivosti in odprte livarne EU.</w:t>
            </w:r>
          </w:p>
        </w:tc>
      </w:tr>
      <w:tr w:rsidR="004A3FEA" w:rsidRPr="00371028" w:rsidTr="004A3FEA">
        <w:tc>
          <w:tcPr>
            <w:tcW w:w="4606" w:type="dxa"/>
          </w:tcPr>
          <w:p w:rsidR="004A3FEA" w:rsidRPr="00371028" w:rsidRDefault="004A3FEA" w:rsidP="00371028">
            <w:pPr>
              <w:jc w:val="both"/>
              <w:rPr>
                <w:rFonts w:ascii="Arial" w:hAnsi="Arial"/>
                <w:sz w:val="20"/>
                <w:szCs w:val="20"/>
              </w:rPr>
            </w:pPr>
            <w:r w:rsidRPr="00371028">
              <w:rPr>
                <w:rFonts w:ascii="Arial" w:hAnsi="Arial"/>
                <w:sz w:val="20"/>
                <w:szCs w:val="20"/>
              </w:rPr>
              <w:t>Usklajevalni mehanizem</w:t>
            </w:r>
          </w:p>
        </w:tc>
        <w:tc>
          <w:tcPr>
            <w:tcW w:w="4606" w:type="dxa"/>
          </w:tcPr>
          <w:p w:rsidR="004A3FEA" w:rsidRPr="00371028" w:rsidRDefault="004A3FEA" w:rsidP="00371028">
            <w:pPr>
              <w:jc w:val="both"/>
              <w:rPr>
                <w:rFonts w:ascii="Arial" w:hAnsi="Arial"/>
                <w:sz w:val="20"/>
                <w:szCs w:val="20"/>
              </w:rPr>
            </w:pPr>
            <w:r w:rsidRPr="00371028">
              <w:rPr>
                <w:rFonts w:ascii="Arial" w:hAnsi="Arial"/>
                <w:sz w:val="20"/>
                <w:szCs w:val="20"/>
              </w:rPr>
              <w:t>Usklajevanje med državami članicami in Komisijo za krepitev sodelovanja z državami članicami in med njimi, spremljanje ponudbe polprevodnikov, ocenjevanje povpraševanja, predvidevanje pomanjkanja in po potrebi sprožitev krizne faze.</w:t>
            </w:r>
          </w:p>
        </w:tc>
      </w:tr>
    </w:tbl>
    <w:p w:rsidR="008B6928" w:rsidRPr="00371028" w:rsidRDefault="004A3FEA" w:rsidP="00371028">
      <w:pPr>
        <w:jc w:val="both"/>
        <w:rPr>
          <w:rFonts w:ascii="Arial" w:hAnsi="Arial"/>
          <w:sz w:val="20"/>
          <w:szCs w:val="20"/>
        </w:rPr>
      </w:pPr>
      <w:r w:rsidRPr="00371028">
        <w:rPr>
          <w:rFonts w:ascii="Arial" w:hAnsi="Arial"/>
          <w:sz w:val="20"/>
          <w:szCs w:val="20"/>
        </w:rPr>
        <w:t xml:space="preserve"> Vir: Evropska komisija</w:t>
      </w:r>
    </w:p>
    <w:p w:rsidR="002207ED" w:rsidRPr="00371028" w:rsidRDefault="002207ED" w:rsidP="00371028">
      <w:pPr>
        <w:jc w:val="both"/>
        <w:rPr>
          <w:rFonts w:ascii="Arial" w:hAnsi="Arial"/>
          <w:sz w:val="20"/>
          <w:szCs w:val="20"/>
        </w:rPr>
      </w:pPr>
    </w:p>
    <w:p w:rsidR="004A3FEA" w:rsidRPr="00371028" w:rsidRDefault="002207ED" w:rsidP="00371028">
      <w:pPr>
        <w:jc w:val="both"/>
        <w:rPr>
          <w:rFonts w:ascii="Arial" w:hAnsi="Arial"/>
          <w:b/>
          <w:sz w:val="20"/>
          <w:szCs w:val="20"/>
        </w:rPr>
      </w:pPr>
      <w:r w:rsidRPr="00371028">
        <w:rPr>
          <w:rFonts w:ascii="Arial" w:hAnsi="Arial"/>
          <w:b/>
          <w:sz w:val="20"/>
          <w:szCs w:val="20"/>
        </w:rPr>
        <w:t>Koristne informaci</w:t>
      </w:r>
      <w:r w:rsidR="004A3FEA" w:rsidRPr="00371028">
        <w:rPr>
          <w:rFonts w:ascii="Arial" w:hAnsi="Arial"/>
          <w:b/>
          <w:sz w:val="20"/>
          <w:szCs w:val="20"/>
        </w:rPr>
        <w:t>je</w:t>
      </w:r>
      <w:r w:rsidRPr="00371028">
        <w:rPr>
          <w:rFonts w:ascii="Arial" w:hAnsi="Arial"/>
          <w:b/>
          <w:sz w:val="20"/>
          <w:szCs w:val="20"/>
        </w:rPr>
        <w:t>:</w:t>
      </w:r>
    </w:p>
    <w:p w:rsidR="00371028" w:rsidRDefault="00371028" w:rsidP="00371028">
      <w:pPr>
        <w:jc w:val="both"/>
        <w:rPr>
          <w:rFonts w:ascii="Arial" w:hAnsi="Arial"/>
          <w:sz w:val="20"/>
          <w:szCs w:val="20"/>
        </w:rPr>
      </w:pPr>
    </w:p>
    <w:p w:rsidR="002207ED" w:rsidRPr="00371028" w:rsidRDefault="002207ED" w:rsidP="00371028">
      <w:pPr>
        <w:pStyle w:val="Odstavekseznama"/>
        <w:numPr>
          <w:ilvl w:val="0"/>
          <w:numId w:val="1"/>
        </w:numPr>
        <w:jc w:val="both"/>
        <w:rPr>
          <w:rFonts w:ascii="Arial" w:hAnsi="Arial"/>
          <w:sz w:val="20"/>
          <w:szCs w:val="20"/>
        </w:rPr>
      </w:pPr>
      <w:r w:rsidRPr="00371028">
        <w:rPr>
          <w:rFonts w:ascii="Arial" w:hAnsi="Arial"/>
          <w:sz w:val="20"/>
          <w:szCs w:val="20"/>
        </w:rPr>
        <w:t>Spletna stran z informacijami o evropskem aktu o čipih:</w:t>
      </w:r>
    </w:p>
    <w:p w:rsidR="002207ED" w:rsidRPr="00371028" w:rsidRDefault="002207ED" w:rsidP="00371028">
      <w:pPr>
        <w:pStyle w:val="Odstavekseznama"/>
        <w:numPr>
          <w:ilvl w:val="0"/>
          <w:numId w:val="1"/>
        </w:numPr>
        <w:jc w:val="both"/>
        <w:rPr>
          <w:rFonts w:ascii="Arial" w:hAnsi="Arial"/>
          <w:sz w:val="20"/>
          <w:szCs w:val="20"/>
        </w:rPr>
      </w:pPr>
      <w:hyperlink r:id="rId6" w:history="1">
        <w:r w:rsidRPr="00371028">
          <w:rPr>
            <w:rStyle w:val="Hiperpovezava"/>
            <w:rFonts w:ascii="Arial" w:hAnsi="Arial" w:cs="Arial"/>
            <w:sz w:val="20"/>
            <w:szCs w:val="20"/>
          </w:rPr>
          <w:t>https://digital-strategy.ec.europa.eu/sl/policies/european-chips-act</w:t>
        </w:r>
      </w:hyperlink>
    </w:p>
    <w:p w:rsidR="002207ED" w:rsidRPr="00371028" w:rsidRDefault="002207ED" w:rsidP="00371028">
      <w:pPr>
        <w:jc w:val="both"/>
        <w:rPr>
          <w:rFonts w:ascii="Arial" w:hAnsi="Arial"/>
          <w:sz w:val="20"/>
          <w:szCs w:val="20"/>
        </w:rPr>
      </w:pPr>
    </w:p>
    <w:p w:rsidR="002207ED" w:rsidRPr="00371028" w:rsidRDefault="002207ED" w:rsidP="00371028">
      <w:pPr>
        <w:jc w:val="both"/>
        <w:rPr>
          <w:rFonts w:ascii="Arial" w:hAnsi="Arial"/>
          <w:sz w:val="20"/>
          <w:szCs w:val="20"/>
        </w:rPr>
      </w:pPr>
      <w:r w:rsidRPr="00371028">
        <w:rPr>
          <w:rFonts w:ascii="Arial" w:hAnsi="Arial"/>
          <w:sz w:val="20"/>
          <w:szCs w:val="20"/>
        </w:rPr>
        <w:t>Pripravila:</w:t>
      </w:r>
    </w:p>
    <w:p w:rsidR="002207ED" w:rsidRPr="00371028" w:rsidRDefault="002207ED" w:rsidP="00371028">
      <w:pPr>
        <w:jc w:val="both"/>
        <w:rPr>
          <w:rFonts w:ascii="Arial" w:hAnsi="Arial"/>
          <w:sz w:val="20"/>
          <w:szCs w:val="20"/>
        </w:rPr>
      </w:pPr>
      <w:r w:rsidRPr="00371028">
        <w:rPr>
          <w:rFonts w:ascii="Arial" w:hAnsi="Arial"/>
          <w:sz w:val="20"/>
          <w:szCs w:val="20"/>
        </w:rPr>
        <w:t>Darja Kocbek</w:t>
      </w:r>
    </w:p>
    <w:sectPr w:rsidR="002207ED" w:rsidRPr="00371028" w:rsidSect="008B69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1B0919"/>
    <w:multiLevelType w:val="hybridMultilevel"/>
    <w:tmpl w:val="81FAEE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A3FEA"/>
    <w:rsid w:val="002207ED"/>
    <w:rsid w:val="00371028"/>
    <w:rsid w:val="004A3FEA"/>
    <w:rsid w:val="008B6928"/>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4A3FEA"/>
    <w:pPr>
      <w:spacing w:after="0" w:line="240" w:lineRule="auto"/>
    </w:pPr>
    <w:rPr>
      <w:rFonts w:ascii="Times New Roman" w:eastAsia="NSimSun" w:hAnsi="Times New Roman" w:cs="Arial"/>
      <w:kern w:val="2"/>
      <w:sz w:val="24"/>
      <w:szCs w:val="24"/>
      <w:lang w:eastAsia="zh-CN" w:bidi="hi-IN"/>
    </w:rPr>
  </w:style>
  <w:style w:type="paragraph" w:styleId="Naslov2">
    <w:name w:val="heading 2"/>
    <w:basedOn w:val="Navaden"/>
    <w:next w:val="Navaden"/>
    <w:link w:val="Naslov2Znak"/>
    <w:uiPriority w:val="9"/>
    <w:unhideWhenUsed/>
    <w:qFormat/>
    <w:rsid w:val="00371028"/>
    <w:pPr>
      <w:keepNext/>
      <w:keepLines/>
      <w:spacing w:before="200" w:line="276" w:lineRule="auto"/>
      <w:outlineLvl w:val="1"/>
    </w:pPr>
    <w:rPr>
      <w:rFonts w:asciiTheme="majorHAnsi" w:eastAsiaTheme="majorEastAsia" w:hAnsiTheme="majorHAnsi" w:cstheme="majorBidi"/>
      <w:b/>
      <w:bCs/>
      <w:color w:val="4F81BD" w:themeColor="accent1"/>
      <w:kern w:val="0"/>
      <w:sz w:val="26"/>
      <w:szCs w:val="26"/>
      <w:lang w:eastAsia="en-US" w:bidi="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4A3FE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iperpovezava">
    <w:name w:val="Hyperlink"/>
    <w:basedOn w:val="Privzetapisavaodstavka"/>
    <w:uiPriority w:val="99"/>
    <w:unhideWhenUsed/>
    <w:rsid w:val="002207ED"/>
    <w:rPr>
      <w:color w:val="0000FF" w:themeColor="hyperlink"/>
      <w:u w:val="single"/>
    </w:rPr>
  </w:style>
  <w:style w:type="paragraph" w:styleId="Odstavekseznama">
    <w:name w:val="List Paragraph"/>
    <w:basedOn w:val="Navaden"/>
    <w:uiPriority w:val="34"/>
    <w:qFormat/>
    <w:rsid w:val="00371028"/>
    <w:pPr>
      <w:ind w:left="720"/>
      <w:contextualSpacing/>
    </w:pPr>
    <w:rPr>
      <w:rFonts w:cs="Mangal"/>
      <w:szCs w:val="21"/>
    </w:rPr>
  </w:style>
  <w:style w:type="character" w:customStyle="1" w:styleId="Naslov2Znak">
    <w:name w:val="Naslov 2 Znak"/>
    <w:basedOn w:val="Privzetapisavaodstavka"/>
    <w:link w:val="Naslov2"/>
    <w:uiPriority w:val="9"/>
    <w:rsid w:val="00371028"/>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371028"/>
    <w:rPr>
      <w:rFonts w:ascii="Tahoma" w:hAnsi="Tahoma" w:cs="Mangal"/>
      <w:sz w:val="16"/>
      <w:szCs w:val="14"/>
    </w:rPr>
  </w:style>
  <w:style w:type="character" w:customStyle="1" w:styleId="BesedilooblakaZnak">
    <w:name w:val="Besedilo oblačka Znak"/>
    <w:basedOn w:val="Privzetapisavaodstavka"/>
    <w:link w:val="Besedilooblaka"/>
    <w:uiPriority w:val="99"/>
    <w:semiHidden/>
    <w:rsid w:val="00371028"/>
    <w:rPr>
      <w:rFonts w:ascii="Tahoma" w:eastAsia="NSimSun" w:hAnsi="Tahoma" w:cs="Mangal"/>
      <w:kern w:val="2"/>
      <w:sz w:val="16"/>
      <w:szCs w:val="14"/>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igital-strategy.ec.europa.eu/sl/policies/european-chips-ac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262</Words>
  <Characters>1500</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2023-09-21T10:19:00Z</dcterms:created>
  <dcterms:modified xsi:type="dcterms:W3CDTF">2023-09-21T10:36:00Z</dcterms:modified>
</cp:coreProperties>
</file>