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C4" w:rsidRPr="00467345" w:rsidRDefault="008753C4" w:rsidP="008753C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3C4" w:rsidRPr="00083714" w:rsidRDefault="008753C4" w:rsidP="008753C4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753C4" w:rsidRPr="00083714" w:rsidRDefault="008753C4" w:rsidP="008753C4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8753C4" w:rsidRDefault="008753C4" w:rsidP="008753C4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143 </w:t>
      </w:r>
      <w:r w:rsidRPr="00083714">
        <w:rPr>
          <w:b/>
        </w:rPr>
        <w:t>– 20</w:t>
      </w:r>
      <w:r>
        <w:rPr>
          <w:b/>
        </w:rPr>
        <w:t>22</w:t>
      </w:r>
    </w:p>
    <w:p w:rsidR="008753C4" w:rsidRDefault="008753C4" w:rsidP="008753C4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19. september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8753C4" w:rsidRDefault="008753C4" w:rsidP="008753C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Brošura z informacijami o stičnih točkah med EIT in programom Marie </w:t>
      </w:r>
      <w:proofErr w:type="spellStart"/>
      <w:r>
        <w:rPr>
          <w:b/>
          <w:color w:val="993300"/>
          <w:sz w:val="32"/>
          <w:szCs w:val="32"/>
        </w:rPr>
        <w:t>Skłodowska</w:t>
      </w:r>
      <w:proofErr w:type="spellEnd"/>
      <w:r>
        <w:rPr>
          <w:b/>
          <w:color w:val="993300"/>
          <w:sz w:val="32"/>
          <w:szCs w:val="32"/>
        </w:rPr>
        <w:t>-Curie (MSCA)</w:t>
      </w:r>
    </w:p>
    <w:p w:rsidR="00CD2E07" w:rsidRPr="002224EF" w:rsidRDefault="00DC28D1" w:rsidP="002224EF">
      <w:pPr>
        <w:jc w:val="both"/>
        <w:rPr>
          <w:rFonts w:ascii="Arial" w:hAnsi="Arial" w:cs="Arial"/>
          <w:b/>
          <w:i/>
        </w:rPr>
      </w:pPr>
      <w:r w:rsidRPr="002224EF">
        <w:rPr>
          <w:rFonts w:ascii="Arial" w:hAnsi="Arial" w:cs="Arial"/>
          <w:b/>
          <w:i/>
        </w:rPr>
        <w:t>Na Evropskem inštitutu za inovacije in tehnologijo (EIT) so pripra</w:t>
      </w:r>
      <w:r w:rsidR="003F74F0" w:rsidRPr="002224EF">
        <w:rPr>
          <w:rFonts w:ascii="Arial" w:hAnsi="Arial" w:cs="Arial"/>
          <w:b/>
          <w:i/>
        </w:rPr>
        <w:t>vili brošuro, v kateri so preds</w:t>
      </w:r>
      <w:r w:rsidRPr="002224EF">
        <w:rPr>
          <w:rFonts w:ascii="Arial" w:hAnsi="Arial" w:cs="Arial"/>
          <w:b/>
          <w:i/>
        </w:rPr>
        <w:t xml:space="preserve">tavili stične točke med EIT in programom Marie </w:t>
      </w:r>
      <w:proofErr w:type="spellStart"/>
      <w:r w:rsidRPr="002224EF">
        <w:rPr>
          <w:rFonts w:ascii="Arial" w:hAnsi="Arial" w:cs="Arial"/>
          <w:b/>
          <w:i/>
        </w:rPr>
        <w:t>Skłodowska</w:t>
      </w:r>
      <w:proofErr w:type="spellEnd"/>
      <w:r w:rsidRPr="002224EF">
        <w:rPr>
          <w:rFonts w:ascii="Arial" w:hAnsi="Arial" w:cs="Arial"/>
          <w:b/>
          <w:i/>
        </w:rPr>
        <w:t>-Curie (MSCA). Med drugim izpostavljajo, da tako EIT kot MSCA združuje skupine iz visokošolskega izobraževanja, raziskav, podjetij, industrije in drugih neakademskih sektorjev. Oba spodbujata raziskave in inovacije s sodelovanjem med visokošolskim, raziskovalnim in neakademskim sektorjem. Oba  talentom na področju raziskav in v podjetjih pomagata, da pridobijo znanje in spretnosti za prihodnje potrebe trga dela.</w:t>
      </w:r>
    </w:p>
    <w:p w:rsidR="00DC28D1" w:rsidRPr="002224EF" w:rsidRDefault="00B65816" w:rsidP="002224EF">
      <w:pPr>
        <w:jc w:val="both"/>
        <w:rPr>
          <w:rFonts w:ascii="Arial" w:hAnsi="Arial" w:cs="Arial"/>
          <w:sz w:val="20"/>
          <w:szCs w:val="20"/>
        </w:rPr>
      </w:pPr>
      <w:r w:rsidRPr="002224EF">
        <w:rPr>
          <w:rFonts w:ascii="Arial" w:hAnsi="Arial" w:cs="Arial"/>
          <w:sz w:val="20"/>
          <w:szCs w:val="20"/>
        </w:rPr>
        <w:t xml:space="preserve">Organizacije in posamezniki, ki sodelujejo v </w:t>
      </w:r>
      <w:r w:rsidR="003F74F0" w:rsidRPr="002224EF">
        <w:rPr>
          <w:rFonts w:ascii="Arial" w:hAnsi="Arial" w:cs="Arial"/>
          <w:sz w:val="20"/>
          <w:szCs w:val="20"/>
        </w:rPr>
        <w:t>E</w:t>
      </w:r>
      <w:r w:rsidRPr="002224EF">
        <w:rPr>
          <w:rFonts w:ascii="Arial" w:hAnsi="Arial" w:cs="Arial"/>
          <w:sz w:val="20"/>
          <w:szCs w:val="20"/>
        </w:rPr>
        <w:t>IT in MSCA v brošuri lahko najdejo informacije, kako bi njihov projekt lahko izkoristil dejavnosti drugih projektov in inovacijskih skupnosti ali navdihnil projekt v drugem programu. Partnerska organizacija v skupnosti znanja in inovacij EIT bi na primer lahko zaprosila za financiranje MSCA za razvoj podoktorskega programa, s čimer bi zagotovila najsodobnejše usposabljanje na področju inovacij in hkrati razvila partnerje zunaj mreže skupnosti znanja in inovacij.</w:t>
      </w:r>
    </w:p>
    <w:p w:rsidR="00B65816" w:rsidRPr="002224EF" w:rsidRDefault="00B65816" w:rsidP="002224EF">
      <w:pPr>
        <w:jc w:val="both"/>
        <w:rPr>
          <w:rFonts w:ascii="Arial" w:hAnsi="Arial" w:cs="Arial"/>
          <w:sz w:val="20"/>
          <w:szCs w:val="20"/>
        </w:rPr>
      </w:pPr>
      <w:r w:rsidRPr="002224EF">
        <w:rPr>
          <w:rFonts w:ascii="Arial" w:hAnsi="Arial" w:cs="Arial"/>
          <w:sz w:val="20"/>
          <w:szCs w:val="20"/>
        </w:rPr>
        <w:t xml:space="preserve">V prilogi so navedeni zgledni primeri sodelovanja. Med njimi je SULTAN: Evropska mreža za usposabljanje na področju </w:t>
      </w:r>
      <w:proofErr w:type="spellStart"/>
      <w:r w:rsidRPr="002224EF">
        <w:rPr>
          <w:rFonts w:ascii="Arial" w:hAnsi="Arial" w:cs="Arial"/>
          <w:sz w:val="20"/>
          <w:szCs w:val="20"/>
        </w:rPr>
        <w:t>remediacije</w:t>
      </w:r>
      <w:proofErr w:type="spellEnd"/>
      <w:r w:rsidRPr="002224EF">
        <w:rPr>
          <w:rFonts w:ascii="Arial" w:hAnsi="Arial" w:cs="Arial"/>
          <w:sz w:val="20"/>
          <w:szCs w:val="20"/>
        </w:rPr>
        <w:t xml:space="preserve"> in predelave sulfidnih rudarskih odpadkov, </w:t>
      </w:r>
      <w:proofErr w:type="spellStart"/>
      <w:r w:rsidRPr="002224EF">
        <w:rPr>
          <w:rFonts w:ascii="Arial" w:hAnsi="Arial" w:cs="Arial"/>
          <w:sz w:val="20"/>
          <w:szCs w:val="20"/>
        </w:rPr>
        <w:t>FogGuru</w:t>
      </w:r>
      <w:proofErr w:type="spellEnd"/>
      <w:r w:rsidRPr="002224EF">
        <w:rPr>
          <w:rFonts w:ascii="Arial" w:hAnsi="Arial" w:cs="Arial"/>
          <w:sz w:val="20"/>
          <w:szCs w:val="20"/>
        </w:rPr>
        <w:t>: Usposabljanje nove generacije evropskih strokovnjakov za računalništvo</w:t>
      </w:r>
      <w:r w:rsidR="00910BDE" w:rsidRPr="002224EF">
        <w:rPr>
          <w:rFonts w:ascii="Arial" w:hAnsi="Arial" w:cs="Arial"/>
          <w:sz w:val="20"/>
          <w:szCs w:val="20"/>
        </w:rPr>
        <w:t xml:space="preserve"> v megli, PERSEUS: Doktorski program za integrirane raziskovalne dejavnosti za sprostitev potenciala na najvišji ravni na področju digitalne preobrazbe za </w:t>
      </w:r>
      <w:proofErr w:type="spellStart"/>
      <w:r w:rsidR="00910BDE" w:rsidRPr="002224EF">
        <w:rPr>
          <w:rFonts w:ascii="Arial" w:hAnsi="Arial" w:cs="Arial"/>
          <w:sz w:val="20"/>
          <w:szCs w:val="20"/>
        </w:rPr>
        <w:t>trajnostnost</w:t>
      </w:r>
      <w:proofErr w:type="spellEnd"/>
      <w:r w:rsidR="00910BDE" w:rsidRPr="002224EF">
        <w:rPr>
          <w:rFonts w:ascii="Arial" w:hAnsi="Arial" w:cs="Arial"/>
          <w:sz w:val="20"/>
          <w:szCs w:val="20"/>
        </w:rPr>
        <w:t>.</w:t>
      </w:r>
    </w:p>
    <w:p w:rsidR="00910BDE" w:rsidRPr="002224EF" w:rsidRDefault="00910BDE" w:rsidP="002224EF">
      <w:pPr>
        <w:jc w:val="both"/>
        <w:rPr>
          <w:rFonts w:ascii="Arial" w:hAnsi="Arial" w:cs="Arial"/>
          <w:b/>
          <w:sz w:val="20"/>
          <w:szCs w:val="20"/>
        </w:rPr>
      </w:pPr>
      <w:r w:rsidRPr="002224EF">
        <w:rPr>
          <w:rFonts w:ascii="Arial" w:hAnsi="Arial" w:cs="Arial"/>
          <w:b/>
          <w:sz w:val="20"/>
          <w:szCs w:val="20"/>
        </w:rPr>
        <w:t>Koristne informacije:</w:t>
      </w:r>
    </w:p>
    <w:p w:rsidR="00910BDE" w:rsidRPr="002224EF" w:rsidRDefault="00910BDE" w:rsidP="002224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24EF">
        <w:rPr>
          <w:rFonts w:ascii="Arial" w:hAnsi="Arial" w:cs="Arial"/>
          <w:sz w:val="20"/>
          <w:szCs w:val="20"/>
        </w:rPr>
        <w:t>Brošura:</w:t>
      </w:r>
    </w:p>
    <w:p w:rsidR="00910BDE" w:rsidRPr="002224EF" w:rsidRDefault="00910BDE" w:rsidP="002224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224EF">
          <w:rPr>
            <w:rStyle w:val="Hiperpovezava"/>
            <w:rFonts w:ascii="Arial" w:hAnsi="Arial" w:cs="Arial"/>
            <w:sz w:val="20"/>
            <w:szCs w:val="20"/>
          </w:rPr>
          <w:t>https://op.europa.eu/en/publication-detail/-/publication/40f1a820-2cc2-11ed-975d-01aa75ed71a1/language-en</w:t>
        </w:r>
      </w:hyperlink>
    </w:p>
    <w:p w:rsidR="00910BDE" w:rsidRPr="002224EF" w:rsidRDefault="003F74F0" w:rsidP="002224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24EF">
        <w:rPr>
          <w:rFonts w:ascii="Arial" w:hAnsi="Arial" w:cs="Arial"/>
          <w:sz w:val="20"/>
          <w:szCs w:val="20"/>
        </w:rPr>
        <w:t>Spletna stran E</w:t>
      </w:r>
      <w:r w:rsidR="00910BDE" w:rsidRPr="002224EF">
        <w:rPr>
          <w:rFonts w:ascii="Arial" w:hAnsi="Arial" w:cs="Arial"/>
          <w:sz w:val="20"/>
          <w:szCs w:val="20"/>
        </w:rPr>
        <w:t>IT:</w:t>
      </w:r>
    </w:p>
    <w:p w:rsidR="003F74F0" w:rsidRPr="002224EF" w:rsidRDefault="003F74F0" w:rsidP="002224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2224EF">
          <w:rPr>
            <w:rStyle w:val="Hiperpovezava"/>
            <w:rFonts w:ascii="Arial" w:hAnsi="Arial" w:cs="Arial"/>
            <w:sz w:val="20"/>
            <w:szCs w:val="20"/>
          </w:rPr>
          <w:t>https://eit.europa.eu/</w:t>
        </w:r>
      </w:hyperlink>
    </w:p>
    <w:p w:rsidR="003F74F0" w:rsidRPr="002224EF" w:rsidRDefault="003F74F0" w:rsidP="002224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24EF">
        <w:rPr>
          <w:rFonts w:ascii="Arial" w:hAnsi="Arial" w:cs="Arial"/>
          <w:sz w:val="20"/>
          <w:szCs w:val="20"/>
        </w:rPr>
        <w:t>Spletna stran MSCA:</w:t>
      </w:r>
    </w:p>
    <w:p w:rsidR="003F74F0" w:rsidRPr="002224EF" w:rsidRDefault="003F74F0" w:rsidP="002224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2224EF">
          <w:rPr>
            <w:rStyle w:val="Hiperpovezava"/>
            <w:rFonts w:ascii="Arial" w:hAnsi="Arial" w:cs="Arial"/>
            <w:sz w:val="20"/>
            <w:szCs w:val="20"/>
          </w:rPr>
          <w:t>https://marie-sklodowska-curie-actions.ec.europa.eu/about-marie-sklodowska-curie-actions</w:t>
        </w:r>
      </w:hyperlink>
    </w:p>
    <w:p w:rsidR="003F74F0" w:rsidRPr="002224EF" w:rsidRDefault="003F74F0" w:rsidP="002224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24EF">
        <w:rPr>
          <w:rFonts w:ascii="Arial" w:hAnsi="Arial" w:cs="Arial"/>
          <w:sz w:val="20"/>
          <w:szCs w:val="20"/>
        </w:rPr>
        <w:t>Pripravila:</w:t>
      </w:r>
      <w:r w:rsidR="008753C4">
        <w:rPr>
          <w:rFonts w:ascii="Arial" w:hAnsi="Arial" w:cs="Arial"/>
          <w:sz w:val="20"/>
          <w:szCs w:val="20"/>
        </w:rPr>
        <w:t xml:space="preserve"> </w:t>
      </w:r>
      <w:r w:rsidRPr="002224EF">
        <w:rPr>
          <w:rFonts w:ascii="Arial" w:hAnsi="Arial" w:cs="Arial"/>
          <w:sz w:val="20"/>
          <w:szCs w:val="20"/>
        </w:rPr>
        <w:t>Darja Kocbek</w:t>
      </w:r>
    </w:p>
    <w:p w:rsidR="00910BDE" w:rsidRDefault="00910BDE" w:rsidP="002224EF">
      <w:pPr>
        <w:spacing w:after="0"/>
      </w:pPr>
    </w:p>
    <w:sectPr w:rsidR="00910BDE" w:rsidSect="00CD2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FAD"/>
    <w:multiLevelType w:val="hybridMultilevel"/>
    <w:tmpl w:val="6A7EFA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8D1"/>
    <w:rsid w:val="002224EF"/>
    <w:rsid w:val="003F74F0"/>
    <w:rsid w:val="008753C4"/>
    <w:rsid w:val="00910BDE"/>
    <w:rsid w:val="00B65816"/>
    <w:rsid w:val="00CD2E07"/>
    <w:rsid w:val="00DC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2E07"/>
  </w:style>
  <w:style w:type="paragraph" w:styleId="Naslov2">
    <w:name w:val="heading 2"/>
    <w:basedOn w:val="Navaden"/>
    <w:link w:val="Naslov2Znak"/>
    <w:uiPriority w:val="9"/>
    <w:qFormat/>
    <w:rsid w:val="00875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0BD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224E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8753C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5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e-sklodowska-curie-actions.ec.europa.eu/about-marie-sklodowska-curie-ac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t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.europa.eu/en/publication-detail/-/publication/40f1a820-2cc2-11ed-975d-01aa75ed71a1/language-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2022-09-14T17:36:00Z</dcterms:created>
  <dcterms:modified xsi:type="dcterms:W3CDTF">2022-09-14T18:03:00Z</dcterms:modified>
</cp:coreProperties>
</file>