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C5E" w:rsidRPr="00467345" w:rsidRDefault="002A0C5E" w:rsidP="002A0C5E">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2A0C5E" w:rsidRPr="00083714" w:rsidRDefault="002A0C5E" w:rsidP="002A0C5E">
      <w:pPr>
        <w:pStyle w:val="Naslov2"/>
        <w:tabs>
          <w:tab w:val="left" w:pos="3120"/>
        </w:tabs>
        <w:spacing w:before="240"/>
        <w:jc w:val="center"/>
        <w:rPr>
          <w:b w:val="0"/>
          <w:bCs w:val="0"/>
          <w:i/>
          <w:iCs/>
          <w:sz w:val="22"/>
        </w:rPr>
      </w:pPr>
      <w:r w:rsidRPr="00083714">
        <w:rPr>
          <w:sz w:val="22"/>
        </w:rPr>
        <w:t>Slovensko gospodarsko in raziskovalno združenje, Bruselj</w:t>
      </w:r>
    </w:p>
    <w:p w:rsidR="002A0C5E" w:rsidRPr="00083714" w:rsidRDefault="002A0C5E" w:rsidP="002A0C5E">
      <w:pPr>
        <w:pBdr>
          <w:bottom w:val="single" w:sz="6" w:space="1" w:color="auto"/>
        </w:pBdr>
        <w:tabs>
          <w:tab w:val="left" w:pos="3120"/>
        </w:tabs>
        <w:spacing w:before="240"/>
        <w:rPr>
          <w:sz w:val="16"/>
          <w:szCs w:val="16"/>
        </w:rPr>
      </w:pPr>
    </w:p>
    <w:p w:rsidR="002A0C5E" w:rsidRDefault="002A0C5E" w:rsidP="002A0C5E">
      <w:pPr>
        <w:tabs>
          <w:tab w:val="left" w:pos="3120"/>
        </w:tabs>
        <w:spacing w:before="240"/>
        <w:rPr>
          <w:b/>
        </w:rPr>
      </w:pPr>
      <w:r w:rsidRPr="00083714">
        <w:rPr>
          <w:b/>
        </w:rPr>
        <w:tab/>
      </w:r>
      <w:r>
        <w:rPr>
          <w:b/>
        </w:rPr>
        <w:t xml:space="preserve">Občasna informacija članom 141 </w:t>
      </w:r>
      <w:r w:rsidRPr="00083714">
        <w:rPr>
          <w:b/>
        </w:rPr>
        <w:t>– 20</w:t>
      </w:r>
      <w:r>
        <w:rPr>
          <w:b/>
        </w:rPr>
        <w:t>22</w:t>
      </w:r>
    </w:p>
    <w:p w:rsidR="002A0C5E" w:rsidRDefault="002A0C5E" w:rsidP="002A0C5E">
      <w:pPr>
        <w:tabs>
          <w:tab w:val="left" w:pos="3120"/>
        </w:tabs>
        <w:spacing w:before="240"/>
        <w:jc w:val="center"/>
        <w:rPr>
          <w:b/>
        </w:rPr>
      </w:pPr>
      <w:r>
        <w:rPr>
          <w:b/>
        </w:rPr>
        <w:t xml:space="preserve">19. september </w:t>
      </w:r>
      <w:r w:rsidRPr="00083714">
        <w:rPr>
          <w:b/>
        </w:rPr>
        <w:t xml:space="preserve"> 20</w:t>
      </w:r>
      <w:r>
        <w:rPr>
          <w:b/>
        </w:rPr>
        <w:t>22</w:t>
      </w:r>
    </w:p>
    <w:p w:rsidR="002A0C5E" w:rsidRDefault="002A0C5E" w:rsidP="002A0C5E">
      <w:pPr>
        <w:jc w:val="center"/>
        <w:rPr>
          <w:rFonts w:ascii="Arial" w:hAnsi="Arial" w:cs="Arial"/>
          <w:b/>
          <w:i/>
        </w:rPr>
      </w:pPr>
      <w:r>
        <w:rPr>
          <w:b/>
          <w:color w:val="993300"/>
          <w:sz w:val="32"/>
          <w:szCs w:val="32"/>
        </w:rPr>
        <w:t>Predlog Evropske komisije za nujno posredovanje na evropskih energetskih trgih</w:t>
      </w:r>
    </w:p>
    <w:p w:rsidR="00CD2E07" w:rsidRPr="00767B1F" w:rsidRDefault="00A00D74" w:rsidP="00767B1F">
      <w:pPr>
        <w:jc w:val="both"/>
        <w:rPr>
          <w:rFonts w:ascii="Arial" w:hAnsi="Arial" w:cs="Arial"/>
          <w:b/>
          <w:i/>
        </w:rPr>
      </w:pPr>
      <w:r w:rsidRPr="00767B1F">
        <w:rPr>
          <w:rFonts w:ascii="Arial" w:hAnsi="Arial" w:cs="Arial"/>
          <w:b/>
          <w:i/>
        </w:rPr>
        <w:t>Evropska komisija je kot odziv na nenadno znatno zvišanje cen pripravila predlog za nujno posredovanje na evropskih energijskih trgih. V njem predlaga ukrepe za zmanjšanje povpraševanja po električni energiji, ki naj bi pripomogli k zmanjšanju stroškov za električno energijo za odjemalce, ter ukrepe za prerazporeditev presežnih prihodkov energetskega sektorja končnim odjemalcem. Omenjeni ukrepi so dopolnitev ukrepov za polnjenje skladišč plina in za zmanjšanje povpraševanja po plinu. Člani lahko dobijo dodatne informacije na SBRA.</w:t>
      </w:r>
    </w:p>
    <w:p w:rsidR="00ED62E3" w:rsidRPr="00767B1F" w:rsidRDefault="00ED62E3" w:rsidP="00767B1F">
      <w:pPr>
        <w:jc w:val="both"/>
        <w:rPr>
          <w:rFonts w:ascii="Arial" w:hAnsi="Arial" w:cs="Arial"/>
          <w:b/>
          <w:sz w:val="20"/>
          <w:szCs w:val="20"/>
        </w:rPr>
      </w:pPr>
      <w:r w:rsidRPr="00767B1F">
        <w:rPr>
          <w:rFonts w:ascii="Arial" w:hAnsi="Arial" w:cs="Arial"/>
          <w:b/>
          <w:sz w:val="20"/>
          <w:szCs w:val="20"/>
        </w:rPr>
        <w:t>Zmanjšanje povpraševanja</w:t>
      </w:r>
      <w:r w:rsidR="00901BC5" w:rsidRPr="00767B1F">
        <w:rPr>
          <w:rFonts w:ascii="Arial" w:hAnsi="Arial" w:cs="Arial"/>
          <w:b/>
          <w:sz w:val="20"/>
          <w:szCs w:val="20"/>
        </w:rPr>
        <w:t xml:space="preserve"> po električni energiji</w:t>
      </w:r>
    </w:p>
    <w:p w:rsidR="00ED62E3" w:rsidRPr="00767B1F" w:rsidRDefault="00901BC5" w:rsidP="00767B1F">
      <w:pPr>
        <w:jc w:val="both"/>
        <w:rPr>
          <w:rFonts w:ascii="Arial" w:hAnsi="Arial" w:cs="Arial"/>
          <w:sz w:val="20"/>
          <w:szCs w:val="20"/>
        </w:rPr>
      </w:pPr>
      <w:r w:rsidRPr="00767B1F">
        <w:rPr>
          <w:rFonts w:ascii="Arial" w:hAnsi="Arial" w:cs="Arial"/>
          <w:sz w:val="20"/>
          <w:szCs w:val="20"/>
        </w:rPr>
        <w:t>Evropska komisija ocenjuje, da je prva rešitev za obravnavo visokih cen električne energije zmanjšanje povpraševanja, ker to lahko vpliva na cene in prispeva k splošni umiritvi razmer na trgu. Da bi se osredotočili na najdražje ure odjema električne energije, ko proizvodnja električne energije iz plina pomembno vpliva na njeno ceno, predlaga obveznost zmanjšanja odjema v izbranih cenovnih konicah za vsaj 5 odstotkov. Države članice bi morale opredeliti 10 odstotkov ur z najvišjo pričakovano ceno in zmanjšati odjem v teh konicah. Komisija predlaga tudi, naj si države članice prizadevajo zmanjšati skupni odjem električne energije za vsaj 10 odstotkov do 31. marca 2023. Primerne ukrepe za dosego tega zmanjšanja odjema bi si lahko izbrale same, pri čemer bi se lahko odločile tudi za finančno nadomestilo.</w:t>
      </w:r>
    </w:p>
    <w:p w:rsidR="00901BC5" w:rsidRPr="00767B1F" w:rsidRDefault="00901BC5" w:rsidP="00767B1F">
      <w:pPr>
        <w:jc w:val="both"/>
        <w:rPr>
          <w:rFonts w:ascii="Arial" w:hAnsi="Arial" w:cs="Arial"/>
          <w:b/>
          <w:sz w:val="20"/>
          <w:szCs w:val="20"/>
        </w:rPr>
      </w:pPr>
      <w:r w:rsidRPr="00767B1F">
        <w:rPr>
          <w:rFonts w:ascii="Arial" w:hAnsi="Arial" w:cs="Arial"/>
          <w:b/>
          <w:sz w:val="20"/>
          <w:szCs w:val="20"/>
        </w:rPr>
        <w:t>Začasna omejitev prihodkov »</w:t>
      </w:r>
      <w:proofErr w:type="spellStart"/>
      <w:r w:rsidRPr="00767B1F">
        <w:rPr>
          <w:rFonts w:ascii="Arial" w:hAnsi="Arial" w:cs="Arial"/>
          <w:b/>
          <w:sz w:val="20"/>
          <w:szCs w:val="20"/>
        </w:rPr>
        <w:t>podmejnih</w:t>
      </w:r>
      <w:proofErr w:type="spellEnd"/>
      <w:r w:rsidRPr="00767B1F">
        <w:rPr>
          <w:rFonts w:ascii="Arial" w:hAnsi="Arial" w:cs="Arial"/>
          <w:b/>
          <w:sz w:val="20"/>
          <w:szCs w:val="20"/>
        </w:rPr>
        <w:t>« proizvajalcev električne energije</w:t>
      </w:r>
    </w:p>
    <w:p w:rsidR="00767B1F" w:rsidRDefault="002D6158" w:rsidP="00767B1F">
      <w:pPr>
        <w:jc w:val="both"/>
        <w:rPr>
          <w:rFonts w:ascii="Arial" w:hAnsi="Arial" w:cs="Arial"/>
          <w:sz w:val="20"/>
          <w:szCs w:val="20"/>
        </w:rPr>
      </w:pPr>
      <w:r w:rsidRPr="00767B1F">
        <w:rPr>
          <w:rFonts w:ascii="Arial" w:hAnsi="Arial" w:cs="Arial"/>
          <w:sz w:val="20"/>
          <w:szCs w:val="20"/>
        </w:rPr>
        <w:t>Evropska komisija predlaga začasno omejitev prihodkov proizvajalcev električne energije, ki uporabljajo tehnologije z nižjimi stroški (</w:t>
      </w:r>
      <w:proofErr w:type="spellStart"/>
      <w:r w:rsidRPr="00767B1F">
        <w:rPr>
          <w:rFonts w:ascii="Arial" w:hAnsi="Arial" w:cs="Arial"/>
          <w:sz w:val="20"/>
          <w:szCs w:val="20"/>
        </w:rPr>
        <w:t>podmejni</w:t>
      </w:r>
      <w:proofErr w:type="spellEnd"/>
      <w:r w:rsidRPr="00767B1F">
        <w:rPr>
          <w:rFonts w:ascii="Arial" w:hAnsi="Arial" w:cs="Arial"/>
          <w:sz w:val="20"/>
          <w:szCs w:val="20"/>
        </w:rPr>
        <w:t xml:space="preserve"> proizvajalci), kot so obnovljivi viri energije, jedrska energija in lignit, in električno energijo v omrežje zagotavljajo po ceni, nižji od tiste, ki jo določijo dražji »mejni« proizvajalci. Komisija predlaga, da se zgornja meja prihodkov določi na 180 evrov/MWh. To naj bi proizvajalcem omogočilo, da pokrijejo svoje naložbene in operativne stroške, ne da bi oviralo naložbe v nove zmogljivosti v skladu z energetskimi in podnebnimi cilji EU za leti 2030 in 2050. Prihodke, ki presegajo zgornjo mejo, naj bi pobrale vlade držav članic in jih uporabile za pomoč odjemalcem pri znižanju njihovih računov. </w:t>
      </w:r>
    </w:p>
    <w:p w:rsidR="00901BC5" w:rsidRPr="00767B1F" w:rsidRDefault="002D6158" w:rsidP="00767B1F">
      <w:pPr>
        <w:jc w:val="both"/>
        <w:rPr>
          <w:rFonts w:ascii="Arial" w:hAnsi="Arial" w:cs="Arial"/>
          <w:sz w:val="20"/>
          <w:szCs w:val="20"/>
        </w:rPr>
      </w:pPr>
      <w:r w:rsidRPr="00767B1F">
        <w:rPr>
          <w:rFonts w:ascii="Arial" w:hAnsi="Arial" w:cs="Arial"/>
          <w:sz w:val="20"/>
          <w:szCs w:val="20"/>
        </w:rPr>
        <w:t xml:space="preserve">Države članice, ki trgujejo z električno energijo, naj v duhu solidarnosti sklenejo dvostranske sporazume o delitvi dela </w:t>
      </w:r>
      <w:proofErr w:type="spellStart"/>
      <w:r w:rsidRPr="00767B1F">
        <w:rPr>
          <w:rFonts w:ascii="Arial" w:hAnsi="Arial" w:cs="Arial"/>
          <w:sz w:val="20"/>
          <w:szCs w:val="20"/>
        </w:rPr>
        <w:t>podmejnih</w:t>
      </w:r>
      <w:proofErr w:type="spellEnd"/>
      <w:r w:rsidRPr="00767B1F">
        <w:rPr>
          <w:rFonts w:ascii="Arial" w:hAnsi="Arial" w:cs="Arial"/>
          <w:sz w:val="20"/>
          <w:szCs w:val="20"/>
        </w:rPr>
        <w:t xml:space="preserve"> prihodkov, ki jih zbere država proizvajalka, v korist končnih </w:t>
      </w:r>
      <w:r w:rsidRPr="00767B1F">
        <w:rPr>
          <w:rFonts w:ascii="Arial" w:hAnsi="Arial" w:cs="Arial"/>
          <w:sz w:val="20"/>
          <w:szCs w:val="20"/>
        </w:rPr>
        <w:lastRenderedPageBreak/>
        <w:t>uporabnikov v državi članici z nizko proizvodnjo električne energije. Takšne sporazume bi morali skleniti do 1. decembra 2022, kadar neto uvoz električne energije v državo članico iz sosednje države znaša vsaj 100 odstotkov.</w:t>
      </w:r>
    </w:p>
    <w:p w:rsidR="002D6158" w:rsidRPr="00767B1F" w:rsidRDefault="002D6158" w:rsidP="00767B1F">
      <w:pPr>
        <w:jc w:val="both"/>
        <w:rPr>
          <w:rFonts w:ascii="Arial" w:hAnsi="Arial" w:cs="Arial"/>
          <w:b/>
          <w:sz w:val="20"/>
          <w:szCs w:val="20"/>
        </w:rPr>
      </w:pPr>
      <w:r w:rsidRPr="00767B1F">
        <w:rPr>
          <w:rFonts w:ascii="Arial" w:hAnsi="Arial" w:cs="Arial"/>
          <w:b/>
          <w:sz w:val="20"/>
          <w:szCs w:val="20"/>
        </w:rPr>
        <w:t>Začasni solidarnostni prispevek za presežni dobiček</w:t>
      </w:r>
    </w:p>
    <w:p w:rsidR="002D6158" w:rsidRPr="00767B1F" w:rsidRDefault="002D6158" w:rsidP="00767B1F">
      <w:pPr>
        <w:jc w:val="both"/>
        <w:rPr>
          <w:rFonts w:ascii="Arial" w:hAnsi="Arial" w:cs="Arial"/>
          <w:sz w:val="20"/>
          <w:szCs w:val="20"/>
        </w:rPr>
      </w:pPr>
      <w:r w:rsidRPr="00767B1F">
        <w:rPr>
          <w:rFonts w:ascii="Arial" w:hAnsi="Arial" w:cs="Arial"/>
          <w:sz w:val="20"/>
          <w:szCs w:val="20"/>
        </w:rPr>
        <w:t xml:space="preserve">Kot tretji ukrep Evropska komisija predlaga začasni solidarnostni prispevek za presežni dobiček, ustvarjen z dejavnostmi v naftnem, plinskem, premogovniškem in rafinerijskem sektorju, za katere se ne uporablja zgornja meja prihodkov </w:t>
      </w:r>
      <w:proofErr w:type="spellStart"/>
      <w:r w:rsidRPr="00767B1F">
        <w:rPr>
          <w:rFonts w:ascii="Arial" w:hAnsi="Arial" w:cs="Arial"/>
          <w:sz w:val="20"/>
          <w:szCs w:val="20"/>
        </w:rPr>
        <w:t>podmejnih</w:t>
      </w:r>
      <w:proofErr w:type="spellEnd"/>
      <w:r w:rsidRPr="00767B1F">
        <w:rPr>
          <w:rFonts w:ascii="Arial" w:hAnsi="Arial" w:cs="Arial"/>
          <w:sz w:val="20"/>
          <w:szCs w:val="20"/>
        </w:rPr>
        <w:t xml:space="preserve"> proizvajalcev. Države članice bi ta prispevek zbrale na podlagi dobička v letu 2022 in sredstva prerazporedile odjemalcem energije, zlasti ranljivim gospodinjstvom, močno prizadetim podjetjem in energijsko intenzivnim panogam. Države članice naj bi lahko financirale tudi čezmejne projekte v skladu s cilji </w:t>
      </w:r>
      <w:proofErr w:type="spellStart"/>
      <w:r w:rsidRPr="00767B1F">
        <w:rPr>
          <w:rFonts w:ascii="Arial" w:hAnsi="Arial" w:cs="Arial"/>
          <w:sz w:val="20"/>
          <w:szCs w:val="20"/>
        </w:rPr>
        <w:t>REPowerEU</w:t>
      </w:r>
      <w:proofErr w:type="spellEnd"/>
      <w:r w:rsidRPr="00767B1F">
        <w:rPr>
          <w:rFonts w:ascii="Arial" w:hAnsi="Arial" w:cs="Arial"/>
          <w:sz w:val="20"/>
          <w:szCs w:val="20"/>
        </w:rPr>
        <w:t xml:space="preserve"> ali uporabile del prihodkov za skupno financiranje ukrepov za ohranjanje delovnih mest ali spodbujanje naložb v obnovljive vire energije in energijsko učinkovitost.</w:t>
      </w:r>
    </w:p>
    <w:p w:rsidR="002D6158" w:rsidRPr="00767B1F" w:rsidRDefault="00767B1F" w:rsidP="00767B1F">
      <w:pPr>
        <w:jc w:val="both"/>
        <w:rPr>
          <w:rFonts w:ascii="Arial" w:hAnsi="Arial" w:cs="Arial"/>
          <w:b/>
          <w:sz w:val="20"/>
          <w:szCs w:val="20"/>
        </w:rPr>
      </w:pPr>
      <w:r w:rsidRPr="00767B1F">
        <w:rPr>
          <w:rFonts w:ascii="Arial" w:hAnsi="Arial" w:cs="Arial"/>
          <w:b/>
          <w:sz w:val="20"/>
          <w:szCs w:val="20"/>
        </w:rPr>
        <w:t>Razširitev nabora orodij za cene energije</w:t>
      </w:r>
    </w:p>
    <w:p w:rsidR="00767B1F" w:rsidRDefault="00767B1F" w:rsidP="00767B1F">
      <w:pPr>
        <w:jc w:val="both"/>
        <w:rPr>
          <w:rFonts w:ascii="Arial" w:hAnsi="Arial" w:cs="Arial"/>
          <w:sz w:val="20"/>
          <w:szCs w:val="20"/>
        </w:rPr>
      </w:pPr>
      <w:r w:rsidRPr="00767B1F">
        <w:rPr>
          <w:rFonts w:ascii="Arial" w:hAnsi="Arial" w:cs="Arial"/>
          <w:sz w:val="20"/>
          <w:szCs w:val="20"/>
        </w:rPr>
        <w:t>V okviru nadaljnjega posredovanja v zvezi s pravili za trg električne energije Evropska komisija predlaga razširitev nabora orodij za cene energije, ki so na voljo za pomoč odjemalcem. Predlogi bi prvič doslej omogočili regulirane cene električne energije, ki bi bile nižje od stroškov, in razširili regulacijo cen, da bi zajeli tudi mala in srednja podjetja. </w:t>
      </w:r>
    </w:p>
    <w:p w:rsidR="004F447B" w:rsidRPr="004F447B" w:rsidRDefault="004F447B" w:rsidP="004F447B">
      <w:pPr>
        <w:jc w:val="both"/>
        <w:rPr>
          <w:rFonts w:ascii="Arial" w:hAnsi="Arial" w:cs="Arial"/>
          <w:b/>
          <w:sz w:val="20"/>
          <w:szCs w:val="20"/>
        </w:rPr>
      </w:pPr>
      <w:r w:rsidRPr="004F447B">
        <w:rPr>
          <w:rFonts w:ascii="Arial" w:hAnsi="Arial" w:cs="Arial"/>
          <w:b/>
          <w:sz w:val="20"/>
          <w:szCs w:val="20"/>
        </w:rPr>
        <w:t>Evropska vodikova banka</w:t>
      </w:r>
    </w:p>
    <w:p w:rsidR="004F447B" w:rsidRPr="004F447B" w:rsidRDefault="004F447B" w:rsidP="004F447B">
      <w:pPr>
        <w:jc w:val="both"/>
        <w:rPr>
          <w:rFonts w:ascii="Arial" w:hAnsi="Arial" w:cs="Arial"/>
          <w:sz w:val="20"/>
          <w:szCs w:val="20"/>
        </w:rPr>
      </w:pPr>
      <w:r w:rsidRPr="004F447B">
        <w:rPr>
          <w:rFonts w:ascii="Arial" w:hAnsi="Arial" w:cs="Arial"/>
          <w:sz w:val="20"/>
          <w:szCs w:val="20"/>
        </w:rPr>
        <w:t>Evropska komisija je napovedala pobudo za vzpostavitev evropske vodikove banke, ki naj bi po njeni oceni omogočila za tri milijarde evrov investicij v gradnjo trga z vodikom.</w:t>
      </w:r>
    </w:p>
    <w:p w:rsidR="00767B1F" w:rsidRPr="00767B1F" w:rsidRDefault="00767B1F" w:rsidP="00767B1F">
      <w:pPr>
        <w:jc w:val="both"/>
        <w:rPr>
          <w:rFonts w:ascii="Arial" w:hAnsi="Arial" w:cs="Arial"/>
          <w:b/>
          <w:sz w:val="20"/>
          <w:szCs w:val="20"/>
        </w:rPr>
      </w:pPr>
      <w:r w:rsidRPr="00767B1F">
        <w:rPr>
          <w:rFonts w:ascii="Arial" w:hAnsi="Arial" w:cs="Arial"/>
          <w:b/>
          <w:sz w:val="20"/>
          <w:szCs w:val="20"/>
        </w:rPr>
        <w:t>Koristne informacije:</w:t>
      </w:r>
    </w:p>
    <w:p w:rsidR="00767B1F" w:rsidRPr="00767B1F" w:rsidRDefault="00767B1F" w:rsidP="00767B1F">
      <w:pPr>
        <w:pStyle w:val="Odstavekseznama"/>
        <w:numPr>
          <w:ilvl w:val="0"/>
          <w:numId w:val="1"/>
        </w:numPr>
        <w:jc w:val="both"/>
        <w:rPr>
          <w:rFonts w:ascii="Arial" w:hAnsi="Arial" w:cs="Arial"/>
          <w:sz w:val="20"/>
          <w:szCs w:val="20"/>
        </w:rPr>
      </w:pPr>
      <w:r w:rsidRPr="00767B1F">
        <w:rPr>
          <w:rFonts w:ascii="Arial" w:hAnsi="Arial" w:cs="Arial"/>
          <w:sz w:val="20"/>
          <w:szCs w:val="20"/>
        </w:rPr>
        <w:t>Predlog uredbe o nujnem posredovanju za obravnavo visokih cen energije:</w:t>
      </w:r>
    </w:p>
    <w:p w:rsidR="00767B1F" w:rsidRPr="00767B1F" w:rsidRDefault="00B801D3" w:rsidP="00767B1F">
      <w:pPr>
        <w:pStyle w:val="Odstavekseznama"/>
        <w:numPr>
          <w:ilvl w:val="0"/>
          <w:numId w:val="1"/>
        </w:numPr>
        <w:jc w:val="both"/>
        <w:rPr>
          <w:rFonts w:ascii="Arial" w:hAnsi="Arial" w:cs="Arial"/>
          <w:sz w:val="20"/>
          <w:szCs w:val="20"/>
        </w:rPr>
      </w:pPr>
      <w:hyperlink r:id="rId6" w:history="1">
        <w:r w:rsidR="00767B1F" w:rsidRPr="00767B1F">
          <w:rPr>
            <w:rStyle w:val="Hiperpovezava"/>
            <w:rFonts w:ascii="Arial" w:hAnsi="Arial" w:cs="Arial"/>
            <w:sz w:val="20"/>
            <w:szCs w:val="20"/>
          </w:rPr>
          <w:t>https://energy.ec.europa.eu/proposal-council-regulation-emergency-intervention-address-high-energy-prices_sl</w:t>
        </w:r>
      </w:hyperlink>
      <w:r w:rsidR="00767B1F" w:rsidRPr="00767B1F">
        <w:rPr>
          <w:rFonts w:ascii="Arial" w:hAnsi="Arial" w:cs="Arial"/>
          <w:sz w:val="20"/>
          <w:szCs w:val="20"/>
        </w:rPr>
        <w:t xml:space="preserve"> </w:t>
      </w:r>
    </w:p>
    <w:p w:rsidR="00767B1F" w:rsidRPr="00767B1F" w:rsidRDefault="00767B1F" w:rsidP="00767B1F">
      <w:pPr>
        <w:spacing w:after="0"/>
        <w:jc w:val="both"/>
        <w:rPr>
          <w:rFonts w:ascii="Arial" w:hAnsi="Arial" w:cs="Arial"/>
          <w:sz w:val="20"/>
          <w:szCs w:val="20"/>
        </w:rPr>
      </w:pPr>
      <w:r w:rsidRPr="00767B1F">
        <w:rPr>
          <w:rFonts w:ascii="Arial" w:hAnsi="Arial" w:cs="Arial"/>
          <w:sz w:val="20"/>
          <w:szCs w:val="20"/>
        </w:rPr>
        <w:t>Pripravila:</w:t>
      </w:r>
    </w:p>
    <w:p w:rsidR="00767B1F" w:rsidRPr="00767B1F" w:rsidRDefault="00767B1F" w:rsidP="00767B1F">
      <w:pPr>
        <w:spacing w:after="0"/>
        <w:jc w:val="both"/>
        <w:rPr>
          <w:rFonts w:ascii="Arial" w:hAnsi="Arial" w:cs="Arial"/>
          <w:sz w:val="20"/>
          <w:szCs w:val="20"/>
        </w:rPr>
      </w:pPr>
      <w:r w:rsidRPr="00767B1F">
        <w:rPr>
          <w:rFonts w:ascii="Arial" w:hAnsi="Arial" w:cs="Arial"/>
          <w:sz w:val="20"/>
          <w:szCs w:val="20"/>
        </w:rPr>
        <w:t>Darja Kocbek</w:t>
      </w:r>
    </w:p>
    <w:sectPr w:rsidR="00767B1F" w:rsidRPr="00767B1F" w:rsidSect="00CD2E0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485329"/>
    <w:multiLevelType w:val="hybridMultilevel"/>
    <w:tmpl w:val="261430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00D74"/>
    <w:rsid w:val="002A0C5E"/>
    <w:rsid w:val="002D6158"/>
    <w:rsid w:val="004F447B"/>
    <w:rsid w:val="00767B1F"/>
    <w:rsid w:val="00901BC5"/>
    <w:rsid w:val="00A00D74"/>
    <w:rsid w:val="00B801D3"/>
    <w:rsid w:val="00CD2E07"/>
    <w:rsid w:val="00ED62E3"/>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CD2E07"/>
  </w:style>
  <w:style w:type="paragraph" w:styleId="Naslov2">
    <w:name w:val="heading 2"/>
    <w:basedOn w:val="Navaden"/>
    <w:next w:val="Navaden"/>
    <w:link w:val="Naslov2Znak"/>
    <w:uiPriority w:val="9"/>
    <w:semiHidden/>
    <w:unhideWhenUsed/>
    <w:qFormat/>
    <w:rsid w:val="002A0C5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basedOn w:val="Privzetapisavaodstavka"/>
    <w:uiPriority w:val="22"/>
    <w:qFormat/>
    <w:rsid w:val="00A00D74"/>
    <w:rPr>
      <w:b/>
      <w:bCs/>
    </w:rPr>
  </w:style>
  <w:style w:type="character" w:styleId="Hiperpovezava">
    <w:name w:val="Hyperlink"/>
    <w:basedOn w:val="Privzetapisavaodstavka"/>
    <w:uiPriority w:val="99"/>
    <w:unhideWhenUsed/>
    <w:rsid w:val="00767B1F"/>
    <w:rPr>
      <w:color w:val="0000FF" w:themeColor="hyperlink"/>
      <w:u w:val="single"/>
    </w:rPr>
  </w:style>
  <w:style w:type="paragraph" w:styleId="Odstavekseznama">
    <w:name w:val="List Paragraph"/>
    <w:basedOn w:val="Navaden"/>
    <w:uiPriority w:val="34"/>
    <w:qFormat/>
    <w:rsid w:val="00767B1F"/>
    <w:pPr>
      <w:ind w:left="720"/>
      <w:contextualSpacing/>
    </w:pPr>
  </w:style>
  <w:style w:type="character" w:customStyle="1" w:styleId="Naslov2Znak">
    <w:name w:val="Naslov 2 Znak"/>
    <w:basedOn w:val="Privzetapisavaodstavka"/>
    <w:link w:val="Naslov2"/>
    <w:uiPriority w:val="9"/>
    <w:semiHidden/>
    <w:rsid w:val="002A0C5E"/>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2A0C5E"/>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A0C5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ergy.ec.europa.eu/proposal-council-regulation-emergency-intervention-address-high-energy-prices_s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681</Words>
  <Characters>3885</Characters>
  <Application>Microsoft Office Word</Application>
  <DocSecurity>0</DocSecurity>
  <Lines>32</Lines>
  <Paragraphs>9</Paragraphs>
  <ScaleCrop>false</ScaleCrop>
  <Company>HP</Company>
  <LinksUpToDate>false</LinksUpToDate>
  <CharactersWithSpaces>4557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cp:revision>
  <dcterms:created xsi:type="dcterms:W3CDTF">2022-09-14T14:15:00Z</dcterms:created>
  <dcterms:modified xsi:type="dcterms:W3CDTF">2022-09-15T11:12:00Z</dcterms:modified>
</cp:coreProperties>
</file>