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2F" w:rsidRPr="00467345" w:rsidRDefault="004C082F" w:rsidP="004C082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82F" w:rsidRPr="00083714" w:rsidRDefault="004C082F" w:rsidP="004C082F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C082F" w:rsidRPr="00083714" w:rsidRDefault="004C082F" w:rsidP="004C082F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C082F" w:rsidRDefault="004C082F" w:rsidP="004C082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141 </w:t>
      </w:r>
      <w:r w:rsidRPr="00083714">
        <w:rPr>
          <w:b/>
        </w:rPr>
        <w:t>– 20</w:t>
      </w:r>
      <w:r>
        <w:rPr>
          <w:b/>
        </w:rPr>
        <w:t>21</w:t>
      </w:r>
    </w:p>
    <w:p w:rsidR="004C082F" w:rsidRPr="00050C1F" w:rsidRDefault="004C082F" w:rsidP="004C082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C082F" w:rsidRDefault="004C082F" w:rsidP="004C082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predlagala načrt za digitalno preobrazbo družbe in gospodarstva</w:t>
      </w:r>
    </w:p>
    <w:p w:rsidR="00805F98" w:rsidRPr="00155FA3" w:rsidRDefault="00A93D67" w:rsidP="00155FA3">
      <w:pPr>
        <w:jc w:val="both"/>
        <w:rPr>
          <w:rFonts w:ascii="Arial" w:hAnsi="Arial" w:cs="Arial"/>
          <w:b/>
          <w:i/>
        </w:rPr>
      </w:pPr>
      <w:r w:rsidRPr="00155FA3">
        <w:rPr>
          <w:rFonts w:ascii="Arial" w:hAnsi="Arial" w:cs="Arial"/>
          <w:b/>
          <w:i/>
        </w:rPr>
        <w:t>Evropska k</w:t>
      </w:r>
      <w:r w:rsidR="00D63DDB" w:rsidRPr="00155FA3">
        <w:rPr>
          <w:rFonts w:ascii="Arial" w:hAnsi="Arial" w:cs="Arial"/>
          <w:b/>
          <w:i/>
        </w:rPr>
        <w:t xml:space="preserve">omisija je predlagala načrt za digitalno preobrazbo družbe in gospodarstva do leta 2030. </w:t>
      </w:r>
      <w:r w:rsidR="008269A6" w:rsidRPr="00155FA3">
        <w:rPr>
          <w:rFonts w:ascii="Arial" w:hAnsi="Arial" w:cs="Arial"/>
          <w:b/>
          <w:i/>
        </w:rPr>
        <w:t xml:space="preserve">Komisija predlaga zlasti vzpostavitev letnega mehanizma sodelovanja z državami članicami in sistem za spremljanje napredka. </w:t>
      </w:r>
      <w:r w:rsidR="00D63DDB" w:rsidRPr="00155FA3">
        <w:rPr>
          <w:rFonts w:ascii="Arial" w:hAnsi="Arial" w:cs="Arial"/>
          <w:b/>
          <w:i/>
        </w:rPr>
        <w:t>Namen tega načrta je tudi opredeliti in izvajati digitalne projekte, ki vključujejo Komisijo in države članice.</w:t>
      </w:r>
      <w:r w:rsidR="008269A6" w:rsidRPr="00155FA3">
        <w:rPr>
          <w:rFonts w:ascii="Arial" w:hAnsi="Arial" w:cs="Arial"/>
          <w:b/>
          <w:i/>
        </w:rPr>
        <w:t xml:space="preserve"> Gre za projekte, ki jih nobena država članica ne bi mogla razviti sama. Člani lahko dobijo več informacij na SBRA.</w:t>
      </w:r>
    </w:p>
    <w:p w:rsidR="008269A6" w:rsidRPr="00155FA3" w:rsidRDefault="006749EF" w:rsidP="00155FA3">
      <w:pPr>
        <w:jc w:val="both"/>
        <w:rPr>
          <w:rFonts w:ascii="Arial" w:hAnsi="Arial" w:cs="Arial"/>
          <w:sz w:val="20"/>
          <w:szCs w:val="20"/>
        </w:rPr>
      </w:pPr>
      <w:r w:rsidRPr="00155FA3">
        <w:rPr>
          <w:rFonts w:ascii="Arial" w:hAnsi="Arial" w:cs="Arial"/>
          <w:sz w:val="20"/>
          <w:szCs w:val="20"/>
        </w:rPr>
        <w:t xml:space="preserve">Komisija je opredelila začetni seznam </w:t>
      </w:r>
      <w:proofErr w:type="spellStart"/>
      <w:r w:rsidRPr="00155FA3">
        <w:rPr>
          <w:rFonts w:ascii="Arial" w:hAnsi="Arial" w:cs="Arial"/>
          <w:sz w:val="20"/>
          <w:szCs w:val="20"/>
        </w:rPr>
        <w:t>večdržavnih</w:t>
      </w:r>
      <w:proofErr w:type="spellEnd"/>
      <w:r w:rsidRPr="00155FA3">
        <w:rPr>
          <w:rFonts w:ascii="Arial" w:hAnsi="Arial" w:cs="Arial"/>
          <w:sz w:val="20"/>
          <w:szCs w:val="20"/>
        </w:rPr>
        <w:t xml:space="preserve"> projektov, ki vključuje več področij za naložbe: podatkovna infrastruktura, procesorji z majhno porabo, komunikacija 5G, </w:t>
      </w:r>
      <w:proofErr w:type="spellStart"/>
      <w:r w:rsidRPr="00155FA3">
        <w:rPr>
          <w:rFonts w:ascii="Arial" w:hAnsi="Arial" w:cs="Arial"/>
          <w:sz w:val="20"/>
          <w:szCs w:val="20"/>
        </w:rPr>
        <w:t>visokozmogljivostno</w:t>
      </w:r>
      <w:proofErr w:type="spellEnd"/>
      <w:r w:rsidRPr="00155FA3">
        <w:rPr>
          <w:rFonts w:ascii="Arial" w:hAnsi="Arial" w:cs="Arial"/>
          <w:sz w:val="20"/>
          <w:szCs w:val="20"/>
        </w:rPr>
        <w:t xml:space="preserve"> računalništvo, varna kvantna komunikacija, javna uprava, blokovna veriga, vozlišča za digitalne inovacije in naložbe v digitalne spretnosti in znanja ljudi.</w:t>
      </w:r>
    </w:p>
    <w:p w:rsidR="006749EF" w:rsidRPr="00155FA3" w:rsidRDefault="006749EF" w:rsidP="00155FA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55FA3">
        <w:rPr>
          <w:rFonts w:ascii="Arial" w:hAnsi="Arial" w:cs="Arial"/>
          <w:sz w:val="20"/>
          <w:szCs w:val="20"/>
        </w:rPr>
        <w:t>Večdržavni</w:t>
      </w:r>
      <w:proofErr w:type="spellEnd"/>
      <w:r w:rsidRPr="00155FA3">
        <w:rPr>
          <w:rFonts w:ascii="Arial" w:hAnsi="Arial" w:cs="Arial"/>
          <w:sz w:val="20"/>
          <w:szCs w:val="20"/>
        </w:rPr>
        <w:t xml:space="preserve"> projekti bi morali združevati naložbe iz virov financiranja EU, vključno z mehanizmom za okrevanje in odpornost, ter naložbe držav članic. Po potrebi lahko v projekte vlagajo tudi drugi javni in zasebni subjekti.</w:t>
      </w:r>
    </w:p>
    <w:p w:rsidR="006749EF" w:rsidRPr="00155FA3" w:rsidRDefault="006749EF" w:rsidP="00155FA3">
      <w:pPr>
        <w:jc w:val="both"/>
        <w:rPr>
          <w:rFonts w:ascii="Arial" w:hAnsi="Arial" w:cs="Arial"/>
          <w:b/>
          <w:sz w:val="20"/>
          <w:szCs w:val="20"/>
        </w:rPr>
      </w:pPr>
      <w:r w:rsidRPr="00155FA3">
        <w:rPr>
          <w:rFonts w:ascii="Arial" w:hAnsi="Arial" w:cs="Arial"/>
          <w:b/>
          <w:sz w:val="20"/>
          <w:szCs w:val="20"/>
        </w:rPr>
        <w:t>Koristne informacije:</w:t>
      </w:r>
    </w:p>
    <w:p w:rsidR="006749EF" w:rsidRPr="00155FA3" w:rsidRDefault="006749EF" w:rsidP="00155F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55FA3">
        <w:rPr>
          <w:rFonts w:ascii="Arial" w:hAnsi="Arial" w:cs="Arial"/>
          <w:sz w:val="20"/>
          <w:szCs w:val="20"/>
        </w:rPr>
        <w:t>Načrt:</w:t>
      </w:r>
    </w:p>
    <w:p w:rsidR="006749EF" w:rsidRPr="00155FA3" w:rsidRDefault="006749EF" w:rsidP="00155F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55FA3">
          <w:rPr>
            <w:rStyle w:val="Hiperpovezava"/>
            <w:rFonts w:ascii="Arial" w:hAnsi="Arial" w:cs="Arial"/>
            <w:sz w:val="20"/>
            <w:szCs w:val="20"/>
          </w:rPr>
          <w:t>https://digital-strategy.ec.europa.eu/en/library/proposal-decision-establishing-2030-policy-programme-path-digital-decade</w:t>
        </w:r>
      </w:hyperlink>
    </w:p>
    <w:p w:rsidR="006749EF" w:rsidRPr="00155FA3" w:rsidRDefault="006749EF" w:rsidP="00155F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55FA3">
        <w:rPr>
          <w:rFonts w:ascii="Arial" w:hAnsi="Arial" w:cs="Arial"/>
          <w:sz w:val="20"/>
          <w:szCs w:val="20"/>
        </w:rPr>
        <w:t>Delovni dokument služb Komisije:</w:t>
      </w:r>
    </w:p>
    <w:p w:rsidR="006749EF" w:rsidRPr="00155FA3" w:rsidRDefault="006749EF" w:rsidP="00155F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55FA3">
          <w:rPr>
            <w:rStyle w:val="Hiperpovezava"/>
            <w:rFonts w:ascii="Arial" w:hAnsi="Arial" w:cs="Arial"/>
            <w:sz w:val="20"/>
            <w:szCs w:val="20"/>
          </w:rPr>
          <w:t>https://digital-strategy.ec.europa.eu/en/library/staff-working-document-policy-programme-path-digital-decade</w:t>
        </w:r>
      </w:hyperlink>
    </w:p>
    <w:p w:rsidR="006749EF" w:rsidRPr="00155FA3" w:rsidRDefault="006749EF" w:rsidP="00155F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55FA3">
        <w:rPr>
          <w:rFonts w:ascii="Arial" w:hAnsi="Arial" w:cs="Arial"/>
          <w:sz w:val="20"/>
          <w:szCs w:val="20"/>
        </w:rPr>
        <w:t>Digitalni kompas do leta 2030: evropska pot v digitalno desetletje:</w:t>
      </w:r>
    </w:p>
    <w:p w:rsidR="006749EF" w:rsidRPr="00155FA3" w:rsidRDefault="006749EF" w:rsidP="00155FA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55FA3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https://eur-lex.europa.eu/legal-content/SL/TXT/HTML/?uri=CELEX:52021DC0118&amp;from=sl</w:t>
        </w:r>
      </w:hyperlink>
    </w:p>
    <w:p w:rsidR="006749EF" w:rsidRPr="00155FA3" w:rsidRDefault="006749EF" w:rsidP="00155F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5FA3">
        <w:rPr>
          <w:rFonts w:ascii="Arial" w:hAnsi="Arial" w:cs="Arial"/>
          <w:sz w:val="20"/>
          <w:szCs w:val="20"/>
        </w:rPr>
        <w:t>Pripravila:</w:t>
      </w:r>
    </w:p>
    <w:p w:rsidR="006749EF" w:rsidRPr="00155FA3" w:rsidRDefault="006749EF" w:rsidP="00155F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5FA3">
        <w:rPr>
          <w:rFonts w:ascii="Arial" w:hAnsi="Arial" w:cs="Arial"/>
          <w:sz w:val="20"/>
          <w:szCs w:val="20"/>
        </w:rPr>
        <w:t>Darja Kocbek</w:t>
      </w:r>
    </w:p>
    <w:sectPr w:rsidR="006749EF" w:rsidRPr="00155FA3" w:rsidSect="0080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3BA0"/>
    <w:multiLevelType w:val="hybridMultilevel"/>
    <w:tmpl w:val="61CE8A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DDB"/>
    <w:rsid w:val="00155FA3"/>
    <w:rsid w:val="004C082F"/>
    <w:rsid w:val="006749EF"/>
    <w:rsid w:val="00805F98"/>
    <w:rsid w:val="008269A6"/>
    <w:rsid w:val="00A93D67"/>
    <w:rsid w:val="00D6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5F98"/>
  </w:style>
  <w:style w:type="paragraph" w:styleId="Naslov2">
    <w:name w:val="heading 2"/>
    <w:basedOn w:val="Navaden"/>
    <w:link w:val="Naslov2Znak"/>
    <w:uiPriority w:val="9"/>
    <w:qFormat/>
    <w:rsid w:val="004C0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3DD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55FA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C082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HTML/?uri=CELEX:52021DC0118&amp;from=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-strategy.ec.europa.eu/en/library/staff-working-document-policy-programme-path-digital-dec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library/proposal-decision-establishing-2030-policy-programme-path-digital-deca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2021-09-15T19:04:00Z</dcterms:created>
  <dcterms:modified xsi:type="dcterms:W3CDTF">2021-09-15T19:22:00Z</dcterms:modified>
</cp:coreProperties>
</file>