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FA" w:rsidRPr="00467345" w:rsidRDefault="009A7EFA" w:rsidP="009A7EFA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4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EFA" w:rsidRPr="00301C78" w:rsidRDefault="009A7EFA" w:rsidP="009A7EFA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9A7EFA" w:rsidRPr="00083714" w:rsidRDefault="009A7EFA" w:rsidP="009A7EFA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9A7EFA" w:rsidRDefault="009A7EFA" w:rsidP="009A7EFA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Občasna informacija članom 140 </w:t>
      </w:r>
      <w:r w:rsidRPr="00083714">
        <w:rPr>
          <w:b/>
        </w:rPr>
        <w:t>– 20</w:t>
      </w:r>
      <w:r>
        <w:rPr>
          <w:b/>
        </w:rPr>
        <w:t>23</w:t>
      </w:r>
    </w:p>
    <w:p w:rsidR="009A7EFA" w:rsidRDefault="009A7EFA" w:rsidP="009A7EFA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18. september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9A7EFA" w:rsidRDefault="009A7EFA" w:rsidP="009A7EFA">
      <w:pPr>
        <w:jc w:val="center"/>
        <w:rPr>
          <w:rFonts w:ascii="Arial" w:hAnsi="Arial" w:cs="Arial"/>
          <w:b/>
          <w:i/>
        </w:rPr>
      </w:pPr>
      <w:r>
        <w:rPr>
          <w:rFonts w:ascii="Arial" w:hAnsi="Arial"/>
          <w:b/>
          <w:color w:val="993300"/>
          <w:sz w:val="32"/>
          <w:szCs w:val="32"/>
        </w:rPr>
        <w:t>Predlogi Evropske komisije za podporo malim in srednjim podjetjem</w:t>
      </w:r>
    </w:p>
    <w:p w:rsidR="007047B7" w:rsidRPr="009A7EFA" w:rsidRDefault="004A70DF" w:rsidP="009A7EFA">
      <w:pPr>
        <w:jc w:val="both"/>
        <w:rPr>
          <w:rFonts w:ascii="Arial" w:hAnsi="Arial" w:cs="Arial"/>
          <w:b/>
          <w:i/>
        </w:rPr>
      </w:pPr>
      <w:r w:rsidRPr="009A7EFA">
        <w:rPr>
          <w:rFonts w:ascii="Arial" w:hAnsi="Arial" w:cs="Arial"/>
          <w:b/>
          <w:i/>
        </w:rPr>
        <w:t xml:space="preserve">Evropska komisija je predstavila več </w:t>
      </w:r>
      <w:proofErr w:type="spellStart"/>
      <w:r w:rsidRPr="009A7EFA">
        <w:rPr>
          <w:rFonts w:ascii="Arial" w:hAnsi="Arial" w:cs="Arial"/>
          <w:b/>
          <w:i/>
        </w:rPr>
        <w:t>nezakonodajnih</w:t>
      </w:r>
      <w:proofErr w:type="spellEnd"/>
      <w:r w:rsidRPr="009A7EFA">
        <w:rPr>
          <w:rFonts w:ascii="Arial" w:hAnsi="Arial" w:cs="Arial"/>
          <w:b/>
          <w:i/>
        </w:rPr>
        <w:t xml:space="preserve"> pobud za obravnavo potreb evropskih malih in srednjih podjetij (SME). Objavila je tudi predlog uredbe o zamudah pri plačilih v trgovinskih poslih, ki naj bi nadomestila direktivo o zamudah pri plačilih iz leta 2011, in predlog direktive o vzpostavitvi sistema obdavčitve glede na sedež za SME. Sistem obdavčitve glede na sedež naj bi podjetjem, ki poslujejo čezmejno prek stalnih poslovnih enot, omogočil, da sodelujejo samo z davčno upravo v državi sedeža.</w:t>
      </w:r>
      <w:r w:rsidR="009A7EFA">
        <w:rPr>
          <w:rFonts w:ascii="Arial" w:hAnsi="Arial" w:cs="Arial"/>
          <w:b/>
          <w:i/>
        </w:rPr>
        <w:t xml:space="preserve"> Člani lahko dobijo več informacij na SBRA.</w:t>
      </w:r>
    </w:p>
    <w:p w:rsidR="004A70DF" w:rsidRPr="009A7EFA" w:rsidRDefault="00B25354" w:rsidP="009A7EFA">
      <w:pPr>
        <w:jc w:val="both"/>
        <w:rPr>
          <w:rFonts w:ascii="Arial" w:hAnsi="Arial" w:cs="Arial"/>
          <w:b/>
          <w:sz w:val="20"/>
          <w:szCs w:val="20"/>
        </w:rPr>
      </w:pPr>
      <w:r w:rsidRPr="009A7EFA">
        <w:rPr>
          <w:rFonts w:ascii="Arial" w:hAnsi="Arial" w:cs="Arial"/>
          <w:b/>
          <w:sz w:val="20"/>
          <w:szCs w:val="20"/>
        </w:rPr>
        <w:t xml:space="preserve">Tabela 1: Pregled </w:t>
      </w:r>
      <w:proofErr w:type="spellStart"/>
      <w:r w:rsidRPr="009A7EFA">
        <w:rPr>
          <w:rFonts w:ascii="Arial" w:hAnsi="Arial" w:cs="Arial"/>
          <w:b/>
          <w:sz w:val="20"/>
          <w:szCs w:val="20"/>
        </w:rPr>
        <w:t>nezakonodajnih</w:t>
      </w:r>
      <w:proofErr w:type="spellEnd"/>
      <w:r w:rsidRPr="009A7EFA">
        <w:rPr>
          <w:rFonts w:ascii="Arial" w:hAnsi="Arial" w:cs="Arial"/>
          <w:b/>
          <w:sz w:val="20"/>
          <w:szCs w:val="20"/>
        </w:rPr>
        <w:t xml:space="preserve"> ukrepov</w:t>
      </w:r>
    </w:p>
    <w:tbl>
      <w:tblPr>
        <w:tblStyle w:val="Tabela-mrea"/>
        <w:tblW w:w="0" w:type="auto"/>
        <w:tblLook w:val="04A0"/>
      </w:tblPr>
      <w:tblGrid>
        <w:gridCol w:w="4606"/>
        <w:gridCol w:w="4606"/>
      </w:tblGrid>
      <w:tr w:rsidR="00B25354" w:rsidRPr="009A7EFA" w:rsidTr="00B25354">
        <w:tc>
          <w:tcPr>
            <w:tcW w:w="4606" w:type="dxa"/>
          </w:tcPr>
          <w:p w:rsidR="00B25354" w:rsidRPr="009A7EFA" w:rsidRDefault="00B25354" w:rsidP="009A7E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EFA">
              <w:rPr>
                <w:rFonts w:ascii="Arial" w:hAnsi="Arial" w:cs="Arial"/>
                <w:b/>
                <w:sz w:val="20"/>
                <w:szCs w:val="20"/>
              </w:rPr>
              <w:t>Ukrep</w:t>
            </w:r>
          </w:p>
        </w:tc>
        <w:tc>
          <w:tcPr>
            <w:tcW w:w="4606" w:type="dxa"/>
          </w:tcPr>
          <w:p w:rsidR="00B25354" w:rsidRPr="009A7EFA" w:rsidRDefault="00B25354" w:rsidP="009A7E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EFA">
              <w:rPr>
                <w:rFonts w:ascii="Arial" w:hAnsi="Arial" w:cs="Arial"/>
                <w:b/>
                <w:sz w:val="20"/>
                <w:szCs w:val="20"/>
              </w:rPr>
              <w:t>Kratek opis</w:t>
            </w:r>
          </w:p>
        </w:tc>
      </w:tr>
      <w:tr w:rsidR="00B25354" w:rsidRPr="009A7EFA" w:rsidTr="00B25354">
        <w:tc>
          <w:tcPr>
            <w:tcW w:w="4606" w:type="dxa"/>
          </w:tcPr>
          <w:p w:rsidR="00B25354" w:rsidRPr="009A7EFA" w:rsidRDefault="00B25354" w:rsidP="009A7E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EFA">
              <w:rPr>
                <w:rFonts w:ascii="Arial" w:hAnsi="Arial" w:cs="Arial"/>
                <w:b/>
                <w:sz w:val="20"/>
                <w:szCs w:val="20"/>
              </w:rPr>
              <w:t xml:space="preserve">Izboljšanje sedanjega </w:t>
            </w:r>
            <w:proofErr w:type="spellStart"/>
            <w:r w:rsidRPr="009A7EFA">
              <w:rPr>
                <w:rFonts w:ascii="Arial" w:hAnsi="Arial" w:cs="Arial"/>
                <w:b/>
                <w:sz w:val="20"/>
                <w:szCs w:val="20"/>
              </w:rPr>
              <w:t>regulativnega</w:t>
            </w:r>
            <w:proofErr w:type="spellEnd"/>
            <w:r w:rsidRPr="009A7EFA">
              <w:rPr>
                <w:rFonts w:ascii="Arial" w:hAnsi="Arial" w:cs="Arial"/>
                <w:b/>
                <w:sz w:val="20"/>
                <w:szCs w:val="20"/>
              </w:rPr>
              <w:t xml:space="preserve"> okolja za SME</w:t>
            </w:r>
          </w:p>
        </w:tc>
        <w:tc>
          <w:tcPr>
            <w:tcW w:w="4606" w:type="dxa"/>
          </w:tcPr>
          <w:p w:rsidR="00B25354" w:rsidRPr="009A7EFA" w:rsidRDefault="00B25354" w:rsidP="009A7EF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7EFA">
              <w:rPr>
                <w:rFonts w:ascii="Arial" w:hAnsi="Arial" w:cs="Arial"/>
                <w:sz w:val="18"/>
                <w:szCs w:val="18"/>
              </w:rPr>
              <w:t>Evropska komisija bo imenovala odposlanca EU za SME, ki ji bo zagotavljal smernice in nasvete glede vprašanj, povezanih s SME</w:t>
            </w:r>
          </w:p>
        </w:tc>
      </w:tr>
      <w:tr w:rsidR="00B25354" w:rsidRPr="009A7EFA" w:rsidTr="00B25354">
        <w:tc>
          <w:tcPr>
            <w:tcW w:w="4606" w:type="dxa"/>
          </w:tcPr>
          <w:p w:rsidR="00B25354" w:rsidRPr="009A7EFA" w:rsidRDefault="00B25354" w:rsidP="009A7E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EFA">
              <w:rPr>
                <w:rFonts w:ascii="Arial" w:hAnsi="Arial" w:cs="Arial"/>
                <w:b/>
                <w:sz w:val="20"/>
                <w:szCs w:val="20"/>
              </w:rPr>
              <w:t>Poenostavitev upravnih postopkov in zahtev glede poročanja</w:t>
            </w:r>
          </w:p>
        </w:tc>
        <w:tc>
          <w:tcPr>
            <w:tcW w:w="4606" w:type="dxa"/>
          </w:tcPr>
          <w:p w:rsidR="00B25354" w:rsidRPr="009A7EFA" w:rsidRDefault="00B25354" w:rsidP="009A7EF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7EFA">
              <w:rPr>
                <w:rFonts w:ascii="Arial" w:hAnsi="Arial" w:cs="Arial"/>
                <w:sz w:val="18"/>
                <w:szCs w:val="18"/>
              </w:rPr>
              <w:t xml:space="preserve"> Vzpostavitev </w:t>
            </w:r>
            <w:r w:rsidR="004A5A8B" w:rsidRPr="009A7EFA">
              <w:rPr>
                <w:rFonts w:ascii="Arial" w:hAnsi="Arial" w:cs="Arial"/>
                <w:sz w:val="18"/>
                <w:szCs w:val="18"/>
              </w:rPr>
              <w:t xml:space="preserve">tehničnega sistema po načelu »samo enkrat« </w:t>
            </w:r>
            <w:r w:rsidRPr="009A7EFA">
              <w:rPr>
                <w:rFonts w:ascii="Arial" w:hAnsi="Arial" w:cs="Arial"/>
                <w:sz w:val="18"/>
                <w:szCs w:val="18"/>
              </w:rPr>
              <w:t>do konca leta 2023</w:t>
            </w:r>
            <w:r w:rsidR="004A5A8B" w:rsidRPr="009A7EFA">
              <w:rPr>
                <w:rFonts w:ascii="Arial" w:hAnsi="Arial" w:cs="Arial"/>
                <w:sz w:val="18"/>
                <w:szCs w:val="18"/>
              </w:rPr>
              <w:t xml:space="preserve"> naj bi SME</w:t>
            </w:r>
            <w:r w:rsidRPr="009A7EFA">
              <w:rPr>
                <w:rFonts w:ascii="Arial" w:hAnsi="Arial" w:cs="Arial"/>
                <w:sz w:val="18"/>
                <w:szCs w:val="18"/>
              </w:rPr>
              <w:t xml:space="preserve"> omogočil</w:t>
            </w:r>
            <w:r w:rsidR="004A5A8B" w:rsidRPr="009A7EFA">
              <w:rPr>
                <w:rFonts w:ascii="Arial" w:hAnsi="Arial" w:cs="Arial"/>
                <w:sz w:val="18"/>
                <w:szCs w:val="18"/>
              </w:rPr>
              <w:t>a</w:t>
            </w:r>
            <w:r w:rsidRPr="009A7EFA">
              <w:rPr>
                <w:rFonts w:ascii="Arial" w:hAnsi="Arial" w:cs="Arial"/>
                <w:sz w:val="18"/>
                <w:szCs w:val="18"/>
              </w:rPr>
              <w:t xml:space="preserve"> dokončanje upravnih postopkov na celotnem enotnem trgu, ne da bi bilo treba dokumente ponovno predložiti.</w:t>
            </w:r>
            <w:r w:rsidR="004A5A8B" w:rsidRPr="009A7EFA">
              <w:rPr>
                <w:rFonts w:ascii="Arial" w:hAnsi="Arial" w:cs="Arial"/>
                <w:sz w:val="18"/>
                <w:szCs w:val="18"/>
              </w:rPr>
              <w:t xml:space="preserve"> Evropska komisija obljublja, da bo poenostavila in digitalizirala zapletene postopke, kot so izjave in potrdila o napotitvi delavcev.</w:t>
            </w:r>
          </w:p>
        </w:tc>
      </w:tr>
      <w:tr w:rsidR="00B25354" w:rsidRPr="009A7EFA" w:rsidTr="00B25354">
        <w:tc>
          <w:tcPr>
            <w:tcW w:w="4606" w:type="dxa"/>
          </w:tcPr>
          <w:p w:rsidR="00B25354" w:rsidRPr="009A7EFA" w:rsidRDefault="004A5A8B" w:rsidP="009A7E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EFA">
              <w:rPr>
                <w:rFonts w:ascii="Arial" w:hAnsi="Arial" w:cs="Arial"/>
                <w:b/>
                <w:sz w:val="20"/>
                <w:szCs w:val="20"/>
              </w:rPr>
              <w:t>Spodbujanje naložb, ki so na voljo za SME</w:t>
            </w:r>
          </w:p>
        </w:tc>
        <w:tc>
          <w:tcPr>
            <w:tcW w:w="4606" w:type="dxa"/>
          </w:tcPr>
          <w:p w:rsidR="00B25354" w:rsidRPr="009A7EFA" w:rsidRDefault="0069492C" w:rsidP="009A7EF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7EFA">
              <w:rPr>
                <w:rFonts w:ascii="Arial" w:hAnsi="Arial" w:cs="Arial"/>
                <w:sz w:val="18"/>
                <w:szCs w:val="18"/>
              </w:rPr>
              <w:t xml:space="preserve">Evropska komisija namerava zagotoviti, da bo del predlaganega jamstva EU v višini 7,5 milijarde evrov iz platforme EU za strateške tehnologije za Evropo (STEP) v okviru programa </w:t>
            </w:r>
            <w:proofErr w:type="spellStart"/>
            <w:r w:rsidRPr="009A7EFA">
              <w:rPr>
                <w:rFonts w:ascii="Arial" w:hAnsi="Arial" w:cs="Arial"/>
                <w:sz w:val="18"/>
                <w:szCs w:val="18"/>
              </w:rPr>
              <w:t>InvestEU</w:t>
            </w:r>
            <w:proofErr w:type="spellEnd"/>
            <w:r w:rsidRPr="009A7EFA">
              <w:rPr>
                <w:rFonts w:ascii="Arial" w:hAnsi="Arial" w:cs="Arial"/>
                <w:sz w:val="18"/>
                <w:szCs w:val="18"/>
              </w:rPr>
              <w:t xml:space="preserve"> na voljo tudi SME. </w:t>
            </w:r>
          </w:p>
        </w:tc>
      </w:tr>
      <w:tr w:rsidR="00B25354" w:rsidRPr="009A7EFA" w:rsidTr="00B25354">
        <w:tc>
          <w:tcPr>
            <w:tcW w:w="4606" w:type="dxa"/>
          </w:tcPr>
          <w:p w:rsidR="00B25354" w:rsidRPr="009A7EFA" w:rsidRDefault="0069492C" w:rsidP="009A7E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EFA">
              <w:rPr>
                <w:rFonts w:ascii="Arial" w:hAnsi="Arial" w:cs="Arial"/>
                <w:b/>
                <w:sz w:val="20"/>
                <w:szCs w:val="20"/>
              </w:rPr>
              <w:t>Omogočanje razcveta usposobljene delovne sile za SME</w:t>
            </w:r>
          </w:p>
        </w:tc>
        <w:tc>
          <w:tcPr>
            <w:tcW w:w="4606" w:type="dxa"/>
          </w:tcPr>
          <w:p w:rsidR="00B25354" w:rsidRPr="009A7EFA" w:rsidRDefault="0069492C" w:rsidP="009A7EF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7EFA">
              <w:rPr>
                <w:rFonts w:ascii="Arial" w:hAnsi="Arial" w:cs="Arial"/>
                <w:sz w:val="18"/>
                <w:szCs w:val="18"/>
              </w:rPr>
              <w:t>Predvidena je podpora usposabljanjem, ki jih zagotavljajo partnerstva za spretnosti v okviru evropskega pakta za spretnosti in drugih podpornih pobud za uskladitev spretnosti s potrebami SME.</w:t>
            </w:r>
          </w:p>
        </w:tc>
      </w:tr>
      <w:tr w:rsidR="00B25354" w:rsidRPr="009A7EFA" w:rsidTr="00B25354">
        <w:tc>
          <w:tcPr>
            <w:tcW w:w="4606" w:type="dxa"/>
          </w:tcPr>
          <w:p w:rsidR="00B25354" w:rsidRPr="009A7EFA" w:rsidRDefault="0069492C" w:rsidP="009A7E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A7EFA">
              <w:rPr>
                <w:rFonts w:ascii="Arial" w:hAnsi="Arial" w:cs="Arial"/>
                <w:b/>
                <w:sz w:val="20"/>
                <w:szCs w:val="20"/>
              </w:rPr>
              <w:t>Podpiranje rasti SME</w:t>
            </w:r>
          </w:p>
        </w:tc>
        <w:tc>
          <w:tcPr>
            <w:tcW w:w="4606" w:type="dxa"/>
          </w:tcPr>
          <w:p w:rsidR="00B25354" w:rsidRPr="009A7EFA" w:rsidRDefault="0069492C" w:rsidP="009A7EF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7EFA">
              <w:rPr>
                <w:rFonts w:ascii="Arial" w:hAnsi="Arial" w:cs="Arial"/>
                <w:sz w:val="18"/>
                <w:szCs w:val="18"/>
              </w:rPr>
              <w:t xml:space="preserve">Evropska komisija obljublja pregled sedanjih </w:t>
            </w:r>
            <w:proofErr w:type="spellStart"/>
            <w:r w:rsidRPr="009A7EFA">
              <w:rPr>
                <w:rFonts w:ascii="Arial" w:hAnsi="Arial" w:cs="Arial"/>
                <w:sz w:val="18"/>
                <w:szCs w:val="18"/>
              </w:rPr>
              <w:t>opredelitvenih</w:t>
            </w:r>
            <w:proofErr w:type="spellEnd"/>
            <w:r w:rsidRPr="009A7EFA">
              <w:rPr>
                <w:rFonts w:ascii="Arial" w:hAnsi="Arial" w:cs="Arial"/>
                <w:sz w:val="18"/>
                <w:szCs w:val="18"/>
              </w:rPr>
              <w:t xml:space="preserve"> pragov za SME do konca leta 2023 ter razvoj usklajene opredelitve in morebitno prilagoditev nekaterih obveznosti za mala podjetja s srednje veliko tržno kapitalizacijo.</w:t>
            </w:r>
          </w:p>
        </w:tc>
      </w:tr>
    </w:tbl>
    <w:p w:rsidR="00B25354" w:rsidRPr="009A7EFA" w:rsidRDefault="0069492C" w:rsidP="009A7EFA">
      <w:pPr>
        <w:jc w:val="both"/>
        <w:rPr>
          <w:rFonts w:ascii="Arial" w:hAnsi="Arial" w:cs="Arial"/>
          <w:sz w:val="20"/>
          <w:szCs w:val="20"/>
        </w:rPr>
      </w:pPr>
      <w:r w:rsidRPr="009A7EFA">
        <w:rPr>
          <w:rFonts w:ascii="Arial" w:hAnsi="Arial" w:cs="Arial"/>
          <w:sz w:val="20"/>
          <w:szCs w:val="20"/>
        </w:rPr>
        <w:t>Vir: Evropska komisija</w:t>
      </w:r>
    </w:p>
    <w:p w:rsidR="009A7EFA" w:rsidRDefault="009A7EFA" w:rsidP="009A7EFA">
      <w:pPr>
        <w:jc w:val="both"/>
        <w:rPr>
          <w:rFonts w:ascii="Arial" w:hAnsi="Arial" w:cs="Arial"/>
          <w:b/>
          <w:sz w:val="20"/>
          <w:szCs w:val="20"/>
        </w:rPr>
      </w:pPr>
    </w:p>
    <w:p w:rsidR="0069492C" w:rsidRPr="009A7EFA" w:rsidRDefault="0069492C" w:rsidP="009A7EFA">
      <w:pPr>
        <w:jc w:val="both"/>
        <w:rPr>
          <w:rFonts w:ascii="Arial" w:hAnsi="Arial" w:cs="Arial"/>
          <w:b/>
          <w:sz w:val="20"/>
          <w:szCs w:val="20"/>
        </w:rPr>
      </w:pPr>
      <w:r w:rsidRPr="009A7EFA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9A7EFA" w:rsidRPr="009A7EFA" w:rsidRDefault="009A7EFA" w:rsidP="009A7EF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A7EFA">
        <w:rPr>
          <w:rFonts w:ascii="Arial" w:hAnsi="Arial" w:cs="Arial"/>
          <w:sz w:val="20"/>
          <w:szCs w:val="20"/>
        </w:rPr>
        <w:t>Sporočilo s povezavami na dokumente in predloge:</w:t>
      </w:r>
    </w:p>
    <w:p w:rsidR="009A7EFA" w:rsidRPr="009A7EFA" w:rsidRDefault="009A7EFA" w:rsidP="009A7EF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9A7EFA">
          <w:rPr>
            <w:rStyle w:val="Hiperpovezava"/>
            <w:rFonts w:ascii="Arial" w:hAnsi="Arial" w:cs="Arial"/>
            <w:sz w:val="20"/>
            <w:szCs w:val="20"/>
          </w:rPr>
          <w:t>https://ec.europa.eu/commission/presscorner/detail/sl/IP_23_4409</w:t>
        </w:r>
      </w:hyperlink>
    </w:p>
    <w:p w:rsidR="009A7EFA" w:rsidRPr="009A7EFA" w:rsidRDefault="009A7EFA" w:rsidP="009A7EFA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7EFA">
        <w:rPr>
          <w:rFonts w:ascii="Arial" w:hAnsi="Arial" w:cs="Arial"/>
          <w:sz w:val="20"/>
          <w:szCs w:val="20"/>
        </w:rPr>
        <w:t>Pripravila:</w:t>
      </w:r>
    </w:p>
    <w:p w:rsidR="009A7EFA" w:rsidRPr="009A7EFA" w:rsidRDefault="009A7EFA" w:rsidP="009A7EFA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7EFA">
        <w:rPr>
          <w:rFonts w:ascii="Arial" w:hAnsi="Arial" w:cs="Arial"/>
          <w:sz w:val="20"/>
          <w:szCs w:val="20"/>
        </w:rPr>
        <w:t>Darja Kocbek</w:t>
      </w:r>
    </w:p>
    <w:p w:rsidR="009A7EFA" w:rsidRDefault="009A7EFA" w:rsidP="009A7EFA">
      <w:pPr>
        <w:spacing w:after="0"/>
      </w:pPr>
    </w:p>
    <w:sectPr w:rsidR="009A7EFA" w:rsidSect="00704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C0EF6"/>
    <w:multiLevelType w:val="hybridMultilevel"/>
    <w:tmpl w:val="51EADE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70DF"/>
    <w:rsid w:val="004A5A8B"/>
    <w:rsid w:val="004A70DF"/>
    <w:rsid w:val="0069492C"/>
    <w:rsid w:val="007047B7"/>
    <w:rsid w:val="009A7EFA"/>
    <w:rsid w:val="00B25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047B7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9A7E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4A70DF"/>
    <w:rPr>
      <w:b/>
      <w:bCs/>
    </w:rPr>
  </w:style>
  <w:style w:type="table" w:styleId="Tabela-mrea">
    <w:name w:val="Table Grid"/>
    <w:basedOn w:val="Navadnatabela"/>
    <w:uiPriority w:val="59"/>
    <w:rsid w:val="00B253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9A7EFA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9A7EFA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9A7E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7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7E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commission/presscorner/detail/sl/IP_23_44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2023-09-13T12:55:00Z</dcterms:created>
  <dcterms:modified xsi:type="dcterms:W3CDTF">2023-09-13T14:02:00Z</dcterms:modified>
</cp:coreProperties>
</file>