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18" w:rsidRPr="00C82ABE" w:rsidRDefault="00270E18" w:rsidP="00270E18">
      <w:pPr>
        <w:tabs>
          <w:tab w:val="left" w:pos="2520"/>
          <w:tab w:val="left" w:pos="2700"/>
          <w:tab w:val="left" w:pos="3120"/>
        </w:tabs>
        <w:jc w:val="center"/>
      </w:pPr>
      <w:r w:rsidRPr="00C82ABE">
        <w:rPr>
          <w:noProof/>
          <w:lang w:val="en-US"/>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0E18" w:rsidRPr="00C82ABE" w:rsidRDefault="00270E18" w:rsidP="00270E18">
      <w:pPr>
        <w:pStyle w:val="Heading2"/>
        <w:tabs>
          <w:tab w:val="left" w:pos="3120"/>
        </w:tabs>
        <w:jc w:val="center"/>
        <w:rPr>
          <w:b w:val="0"/>
          <w:bCs w:val="0"/>
          <w:i/>
          <w:iCs/>
          <w:sz w:val="22"/>
        </w:rPr>
      </w:pPr>
      <w:r w:rsidRPr="00C82ABE">
        <w:rPr>
          <w:b w:val="0"/>
          <w:bCs w:val="0"/>
          <w:sz w:val="22"/>
        </w:rPr>
        <w:t>Slovensko gospodarsko in raziskovalno združenje, Bruselj</w:t>
      </w:r>
    </w:p>
    <w:p w:rsidR="00270E18" w:rsidRPr="00C82ABE" w:rsidRDefault="00270E18" w:rsidP="00270E18">
      <w:pPr>
        <w:pBdr>
          <w:bottom w:val="single" w:sz="6" w:space="1" w:color="auto"/>
        </w:pBdr>
        <w:tabs>
          <w:tab w:val="left" w:pos="3120"/>
        </w:tabs>
        <w:jc w:val="center"/>
        <w:rPr>
          <w:sz w:val="16"/>
          <w:szCs w:val="16"/>
        </w:rPr>
      </w:pPr>
    </w:p>
    <w:p w:rsidR="00270E18" w:rsidRPr="00C72049" w:rsidRDefault="008043B6" w:rsidP="00270E18">
      <w:pPr>
        <w:tabs>
          <w:tab w:val="left" w:pos="3120"/>
        </w:tabs>
        <w:jc w:val="center"/>
        <w:rPr>
          <w:rFonts w:ascii="Arial" w:hAnsi="Arial" w:cs="Arial"/>
          <w:b/>
        </w:rPr>
      </w:pPr>
      <w:r>
        <w:rPr>
          <w:rFonts w:ascii="Arial" w:hAnsi="Arial" w:cs="Arial"/>
          <w:b/>
        </w:rPr>
        <w:t>Občasna informacija članom 139</w:t>
      </w:r>
      <w:bookmarkStart w:id="0" w:name="_GoBack"/>
      <w:bookmarkEnd w:id="0"/>
      <w:r w:rsidR="00270E18" w:rsidRPr="00C72049">
        <w:rPr>
          <w:rFonts w:ascii="Arial" w:hAnsi="Arial" w:cs="Arial"/>
          <w:b/>
        </w:rPr>
        <w:t xml:space="preserve"> – 2018</w:t>
      </w:r>
    </w:p>
    <w:p w:rsidR="00270E18" w:rsidRPr="00C72049" w:rsidRDefault="00270E18" w:rsidP="00270E18">
      <w:pPr>
        <w:pStyle w:val="NoSpacing"/>
        <w:spacing w:after="100"/>
        <w:jc w:val="center"/>
        <w:rPr>
          <w:rFonts w:ascii="Arial" w:hAnsi="Arial" w:cs="Arial"/>
          <w:b/>
        </w:rPr>
      </w:pPr>
      <w:r>
        <w:rPr>
          <w:rFonts w:ascii="Arial" w:hAnsi="Arial" w:cs="Arial"/>
          <w:b/>
        </w:rPr>
        <w:t>10</w:t>
      </w:r>
      <w:r w:rsidRPr="00C72049">
        <w:rPr>
          <w:rFonts w:ascii="Arial" w:hAnsi="Arial" w:cs="Arial"/>
          <w:b/>
        </w:rPr>
        <w:t xml:space="preserve">. </w:t>
      </w:r>
      <w:r>
        <w:rPr>
          <w:rFonts w:ascii="Arial" w:hAnsi="Arial" w:cs="Arial"/>
          <w:b/>
        </w:rPr>
        <w:t>september</w:t>
      </w:r>
      <w:r w:rsidRPr="00C72049">
        <w:rPr>
          <w:rFonts w:ascii="Arial" w:hAnsi="Arial" w:cs="Arial"/>
          <w:b/>
        </w:rPr>
        <w:t xml:space="preserve"> 2018</w:t>
      </w:r>
    </w:p>
    <w:p w:rsidR="00270E18" w:rsidRDefault="00270E18" w:rsidP="00270E18">
      <w:pPr>
        <w:jc w:val="center"/>
        <w:rPr>
          <w:rFonts w:ascii="Arial" w:hAnsi="Arial" w:cs="Arial"/>
          <w:b/>
          <w:i/>
        </w:rPr>
      </w:pPr>
      <w:r>
        <w:rPr>
          <w:rFonts w:ascii="Arial" w:hAnsi="Arial" w:cs="Arial"/>
          <w:b/>
          <w:color w:val="993300"/>
          <w:sz w:val="32"/>
          <w:szCs w:val="32"/>
        </w:rPr>
        <w:t>Poročilo o reviziji projektov na področju kohezijske politike</w:t>
      </w:r>
    </w:p>
    <w:p w:rsidR="005368FC" w:rsidRPr="00270E18" w:rsidRDefault="005368FC" w:rsidP="00270E18">
      <w:pPr>
        <w:rPr>
          <w:rFonts w:ascii="Arial" w:hAnsi="Arial" w:cs="Arial"/>
          <w:b/>
          <w:i/>
        </w:rPr>
      </w:pPr>
      <w:r w:rsidRPr="00270E18">
        <w:rPr>
          <w:rFonts w:ascii="Arial" w:hAnsi="Arial" w:cs="Arial"/>
          <w:b/>
          <w:i/>
        </w:rPr>
        <w:t xml:space="preserve">Postopki za izbiro projektov na področju kohezijske politike so še zmeraj usmerjeni v donos in porabo, ne v rezultate. Poleg tega je zaradi pomanjkljivosti pri spremljanju težko oceniti, koliko sredstva EU prispevajo k doseganju ciljev EU in držav članic,  ugotavljajo revizorji evropskega računskega sodišča. Soje mnenje so objavili pred začetkom pogajanj o zakonodajnih predlogih in razdelitvi sredstev za kohezijsko politiko v obdobju od leta 2021 do 2027. Revizorji so preučili projekte iz sedmih programov v štirih državah članicah, in sicer na Češkem, Franciji, Italiji in na Finskem. </w:t>
      </w:r>
    </w:p>
    <w:p w:rsidR="005368FC" w:rsidRPr="00270E18" w:rsidRDefault="005368FC" w:rsidP="00270E18">
      <w:pPr>
        <w:rPr>
          <w:rFonts w:ascii="Arial" w:hAnsi="Arial" w:cs="Arial"/>
          <w:sz w:val="20"/>
          <w:szCs w:val="20"/>
        </w:rPr>
      </w:pPr>
      <w:r w:rsidRPr="00270E18">
        <w:rPr>
          <w:rFonts w:ascii="Arial" w:hAnsi="Arial" w:cs="Arial"/>
          <w:sz w:val="20"/>
          <w:szCs w:val="20"/>
        </w:rPr>
        <w:t>Potencialni upravičenci so bili po oceni revizorjev dobro obveščeni in so imeli ustrezno podporo za dostop do sredstev EU. Postopki, ki so jih preučili, so bili zasnovani tako, da so podpirali izbor  projektov, ki so bili pomembni za cilje operativnih programov, vendar je bilo v izbirnih merilih le redko  določeno, da morajo prijavitelji opredeliti količinsko opredeljene kazalnike rezultatov na ravni projekta. Zato je težko oceniti, ali so projekti dosegli predvidene rezultate. Poleg tega je bila večina projektov izbrana po načelu kdor prvi pride, prvi melje, ne pa na podlagi točkovanja in razvrščanja. Zato ni nobenega zagotovila, da so bili financirali najboljši projekti.</w:t>
      </w:r>
    </w:p>
    <w:p w:rsidR="005368FC" w:rsidRPr="00270E18" w:rsidRDefault="005368FC" w:rsidP="00270E18">
      <w:pPr>
        <w:rPr>
          <w:rFonts w:ascii="Arial" w:hAnsi="Arial" w:cs="Arial"/>
          <w:sz w:val="20"/>
          <w:szCs w:val="20"/>
        </w:rPr>
      </w:pPr>
      <w:r w:rsidRPr="00270E18">
        <w:rPr>
          <w:rFonts w:ascii="Arial" w:hAnsi="Arial" w:cs="Arial"/>
          <w:sz w:val="20"/>
          <w:szCs w:val="20"/>
        </w:rPr>
        <w:t xml:space="preserve">Revizorji so še ugotovili, da so sistemi spremljanja začeli delovati šele pozno, predvsem zaradi zamud pri sprejetju zakonodajnega okvira EU. Nekateri uporabljeni informacijski sistemi so še vedno pomanjkljivi, kar ogroža zanesljivost podatkov o spremljanju. </w:t>
      </w:r>
    </w:p>
    <w:p w:rsidR="005368FC" w:rsidRPr="00270E18" w:rsidRDefault="005368FC" w:rsidP="00270E18">
      <w:pPr>
        <w:rPr>
          <w:rFonts w:ascii="Arial" w:hAnsi="Arial" w:cs="Arial"/>
          <w:sz w:val="20"/>
          <w:szCs w:val="20"/>
        </w:rPr>
      </w:pPr>
      <w:r w:rsidRPr="00270E18">
        <w:rPr>
          <w:rFonts w:ascii="Arial" w:hAnsi="Arial" w:cs="Arial"/>
          <w:sz w:val="20"/>
          <w:szCs w:val="20"/>
        </w:rPr>
        <w:t xml:space="preserve">Na podlagi ugotovitev revizorjev evropsko sodišče priporoča, naj države članice prijave projektov med seboj primerjajo, od upravičencev </w:t>
      </w:r>
      <w:r w:rsidR="00E62362" w:rsidRPr="00270E18">
        <w:rPr>
          <w:rFonts w:ascii="Arial" w:hAnsi="Arial" w:cs="Arial"/>
          <w:sz w:val="20"/>
          <w:szCs w:val="20"/>
        </w:rPr>
        <w:t xml:space="preserve">pa </w:t>
      </w:r>
      <w:r w:rsidRPr="00270E18">
        <w:rPr>
          <w:rFonts w:ascii="Arial" w:hAnsi="Arial" w:cs="Arial"/>
          <w:sz w:val="20"/>
          <w:szCs w:val="20"/>
        </w:rPr>
        <w:t xml:space="preserve">zahtevajo opredelitev vsaj enega resničnega kazalnika rezultatov za vsak projekt in ocenijo predvidene rezultate </w:t>
      </w:r>
      <w:r w:rsidR="00E62362" w:rsidRPr="00270E18">
        <w:rPr>
          <w:rFonts w:ascii="Arial" w:hAnsi="Arial" w:cs="Arial"/>
          <w:sz w:val="20"/>
          <w:szCs w:val="20"/>
        </w:rPr>
        <w:t>in kazalnike za prijave. Evropski komisiji priporočajo,</w:t>
      </w:r>
      <w:r w:rsidRPr="00270E18">
        <w:rPr>
          <w:rFonts w:ascii="Arial" w:hAnsi="Arial" w:cs="Arial"/>
          <w:sz w:val="20"/>
          <w:szCs w:val="20"/>
        </w:rPr>
        <w:t xml:space="preserve"> naj opredeli skupne kazalnike rezultatov za Evropski sklad za regionalni razvoj in izboljša svoje poročanje o smotrnosti poslovanja</w:t>
      </w:r>
      <w:r w:rsidR="00E62362" w:rsidRPr="00270E18">
        <w:rPr>
          <w:rFonts w:ascii="Arial" w:hAnsi="Arial" w:cs="Arial"/>
          <w:sz w:val="20"/>
          <w:szCs w:val="20"/>
        </w:rPr>
        <w:t xml:space="preserve">. Zagotovi tudi naj </w:t>
      </w:r>
      <w:r w:rsidRPr="00270E18">
        <w:rPr>
          <w:rFonts w:ascii="Arial" w:hAnsi="Arial" w:cs="Arial"/>
          <w:sz w:val="20"/>
          <w:szCs w:val="20"/>
        </w:rPr>
        <w:t>smiseln pregled smotrnosti, ki bo izveden leta</w:t>
      </w:r>
      <w:r w:rsidR="00E62362" w:rsidRPr="00270E18">
        <w:rPr>
          <w:rFonts w:ascii="Arial" w:hAnsi="Arial" w:cs="Arial"/>
          <w:sz w:val="20"/>
          <w:szCs w:val="20"/>
        </w:rPr>
        <w:t xml:space="preserve"> </w:t>
      </w:r>
      <w:r w:rsidRPr="00270E18">
        <w:rPr>
          <w:rFonts w:ascii="Arial" w:hAnsi="Arial" w:cs="Arial"/>
          <w:sz w:val="20"/>
          <w:szCs w:val="20"/>
        </w:rPr>
        <w:t>2019.</w:t>
      </w:r>
    </w:p>
    <w:p w:rsidR="00E62362" w:rsidRPr="00270E18" w:rsidRDefault="00E62362" w:rsidP="00270E18">
      <w:pPr>
        <w:rPr>
          <w:rFonts w:ascii="Arial" w:hAnsi="Arial" w:cs="Arial"/>
          <w:b/>
          <w:sz w:val="20"/>
          <w:szCs w:val="20"/>
        </w:rPr>
      </w:pPr>
      <w:r w:rsidRPr="00270E18">
        <w:rPr>
          <w:rFonts w:ascii="Arial" w:hAnsi="Arial" w:cs="Arial"/>
          <w:b/>
          <w:sz w:val="20"/>
          <w:szCs w:val="20"/>
        </w:rPr>
        <w:t>Koristne informacije:</w:t>
      </w:r>
    </w:p>
    <w:p w:rsidR="00E62362" w:rsidRPr="00270E18" w:rsidRDefault="00E62362" w:rsidP="00270E18">
      <w:pPr>
        <w:pStyle w:val="ListParagraph"/>
        <w:numPr>
          <w:ilvl w:val="0"/>
          <w:numId w:val="1"/>
        </w:numPr>
        <w:rPr>
          <w:rFonts w:ascii="Arial" w:hAnsi="Arial" w:cs="Arial"/>
          <w:sz w:val="20"/>
          <w:szCs w:val="20"/>
        </w:rPr>
      </w:pPr>
      <w:r w:rsidRPr="00270E18">
        <w:rPr>
          <w:rFonts w:ascii="Arial" w:hAnsi="Arial" w:cs="Arial"/>
          <w:sz w:val="20"/>
          <w:szCs w:val="20"/>
        </w:rPr>
        <w:t>Poročilo:</w:t>
      </w:r>
    </w:p>
    <w:p w:rsidR="00E62362" w:rsidRPr="00270E18" w:rsidRDefault="008043B6" w:rsidP="00270E18">
      <w:pPr>
        <w:pStyle w:val="ListParagraph"/>
        <w:numPr>
          <w:ilvl w:val="0"/>
          <w:numId w:val="1"/>
        </w:numPr>
        <w:rPr>
          <w:rFonts w:ascii="Arial" w:hAnsi="Arial" w:cs="Arial"/>
          <w:sz w:val="20"/>
          <w:szCs w:val="20"/>
        </w:rPr>
      </w:pPr>
      <w:hyperlink r:id="rId7" w:history="1">
        <w:r w:rsidR="00E62362" w:rsidRPr="00270E18">
          <w:rPr>
            <w:rStyle w:val="Hyperlink"/>
            <w:rFonts w:ascii="Arial" w:hAnsi="Arial" w:cs="Arial"/>
            <w:sz w:val="20"/>
            <w:szCs w:val="20"/>
          </w:rPr>
          <w:t>https://www.eca.europa.eu/Lists/ECADocuments/SR18_21/SR_PROJECT_PERFORMANCE_SL.pdf</w:t>
        </w:r>
      </w:hyperlink>
    </w:p>
    <w:p w:rsidR="00E62362" w:rsidRPr="00270E18" w:rsidRDefault="00E62362" w:rsidP="00270E18">
      <w:pPr>
        <w:rPr>
          <w:rFonts w:ascii="Arial" w:hAnsi="Arial" w:cs="Arial"/>
          <w:sz w:val="20"/>
          <w:szCs w:val="20"/>
        </w:rPr>
      </w:pPr>
      <w:r w:rsidRPr="00270E18">
        <w:rPr>
          <w:rFonts w:ascii="Arial" w:hAnsi="Arial" w:cs="Arial"/>
          <w:sz w:val="20"/>
          <w:szCs w:val="20"/>
        </w:rPr>
        <w:t>Pripravila:</w:t>
      </w:r>
    </w:p>
    <w:p w:rsidR="00E62362" w:rsidRPr="00270E18" w:rsidRDefault="00E62362" w:rsidP="00270E18">
      <w:pPr>
        <w:rPr>
          <w:rFonts w:ascii="Arial" w:hAnsi="Arial" w:cs="Arial"/>
          <w:sz w:val="20"/>
          <w:szCs w:val="20"/>
        </w:rPr>
      </w:pPr>
      <w:r w:rsidRPr="00270E18">
        <w:rPr>
          <w:rFonts w:ascii="Arial" w:hAnsi="Arial" w:cs="Arial"/>
          <w:sz w:val="20"/>
          <w:szCs w:val="20"/>
        </w:rPr>
        <w:t>Darja Kocbek</w:t>
      </w:r>
    </w:p>
    <w:p w:rsidR="005368FC" w:rsidRPr="005368FC" w:rsidRDefault="005368FC" w:rsidP="005368FC"/>
    <w:p w:rsidR="005368FC" w:rsidRPr="005368FC" w:rsidRDefault="005368FC" w:rsidP="005368FC"/>
    <w:p w:rsidR="005368FC" w:rsidRPr="005368FC" w:rsidRDefault="005368FC" w:rsidP="005368FC"/>
    <w:p w:rsidR="005368FC" w:rsidRPr="005368FC" w:rsidRDefault="005368FC" w:rsidP="005368FC"/>
    <w:p w:rsidR="005368FC" w:rsidRPr="005368FC" w:rsidRDefault="005368FC" w:rsidP="005368FC"/>
    <w:p w:rsidR="00B459D4" w:rsidRPr="005368FC" w:rsidRDefault="00B459D4" w:rsidP="005368FC"/>
    <w:sectPr w:rsidR="00B459D4" w:rsidRPr="005368F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4FD1"/>
    <w:multiLevelType w:val="hybridMultilevel"/>
    <w:tmpl w:val="9B50DD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368FC"/>
    <w:rsid w:val="001C55FF"/>
    <w:rsid w:val="00270E18"/>
    <w:rsid w:val="005368FC"/>
    <w:rsid w:val="008043B6"/>
    <w:rsid w:val="00B459D4"/>
    <w:rsid w:val="00E62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270E18"/>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362"/>
    <w:rPr>
      <w:color w:val="0000FF" w:themeColor="hyperlink"/>
      <w:u w:val="single"/>
    </w:rPr>
  </w:style>
  <w:style w:type="paragraph" w:styleId="ListParagraph">
    <w:name w:val="List Paragraph"/>
    <w:basedOn w:val="Normal"/>
    <w:uiPriority w:val="34"/>
    <w:qFormat/>
    <w:rsid w:val="00270E18"/>
    <w:pPr>
      <w:ind w:left="720"/>
      <w:contextualSpacing/>
    </w:pPr>
  </w:style>
  <w:style w:type="character" w:customStyle="1" w:styleId="Heading2Char">
    <w:name w:val="Heading 2 Char"/>
    <w:basedOn w:val="DefaultParagraphFont"/>
    <w:link w:val="Heading2"/>
    <w:uiPriority w:val="9"/>
    <w:rsid w:val="00270E18"/>
    <w:rPr>
      <w:rFonts w:ascii="Times New Roman" w:eastAsia="Times New Roman" w:hAnsi="Times New Roman" w:cs="Times New Roman"/>
      <w:b/>
      <w:bCs/>
      <w:sz w:val="36"/>
      <w:szCs w:val="36"/>
      <w:lang w:eastAsia="sl-SI"/>
    </w:rPr>
  </w:style>
  <w:style w:type="paragraph" w:styleId="NoSpacing">
    <w:name w:val="No Spacing"/>
    <w:uiPriority w:val="1"/>
    <w:qFormat/>
    <w:rsid w:val="00270E18"/>
    <w:pPr>
      <w:spacing w:after="0"/>
    </w:pPr>
  </w:style>
  <w:style w:type="paragraph" w:styleId="BalloonText">
    <w:name w:val="Balloon Text"/>
    <w:basedOn w:val="Normal"/>
    <w:link w:val="BalloonTextChar"/>
    <w:uiPriority w:val="99"/>
    <w:semiHidden/>
    <w:unhideWhenUsed/>
    <w:rsid w:val="00270E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E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266287">
      <w:bodyDiv w:val="1"/>
      <w:marLeft w:val="0"/>
      <w:marRight w:val="0"/>
      <w:marTop w:val="0"/>
      <w:marBottom w:val="0"/>
      <w:divBdr>
        <w:top w:val="none" w:sz="0" w:space="0" w:color="auto"/>
        <w:left w:val="none" w:sz="0" w:space="0" w:color="auto"/>
        <w:bottom w:val="none" w:sz="0" w:space="0" w:color="auto"/>
        <w:right w:val="none" w:sz="0" w:space="0" w:color="auto"/>
      </w:divBdr>
      <w:divsChild>
        <w:div w:id="387145631">
          <w:marLeft w:val="0"/>
          <w:marRight w:val="0"/>
          <w:marTop w:val="0"/>
          <w:marBottom w:val="0"/>
          <w:divBdr>
            <w:top w:val="none" w:sz="0" w:space="0" w:color="auto"/>
            <w:left w:val="none" w:sz="0" w:space="0" w:color="auto"/>
            <w:bottom w:val="none" w:sz="0" w:space="0" w:color="auto"/>
            <w:right w:val="none" w:sz="0" w:space="0" w:color="auto"/>
          </w:divBdr>
        </w:div>
        <w:div w:id="1969118612">
          <w:marLeft w:val="0"/>
          <w:marRight w:val="0"/>
          <w:marTop w:val="0"/>
          <w:marBottom w:val="0"/>
          <w:divBdr>
            <w:top w:val="none" w:sz="0" w:space="0" w:color="auto"/>
            <w:left w:val="none" w:sz="0" w:space="0" w:color="auto"/>
            <w:bottom w:val="none" w:sz="0" w:space="0" w:color="auto"/>
            <w:right w:val="none" w:sz="0" w:space="0" w:color="auto"/>
          </w:divBdr>
        </w:div>
        <w:div w:id="382870269">
          <w:marLeft w:val="0"/>
          <w:marRight w:val="0"/>
          <w:marTop w:val="0"/>
          <w:marBottom w:val="0"/>
          <w:divBdr>
            <w:top w:val="none" w:sz="0" w:space="0" w:color="auto"/>
            <w:left w:val="none" w:sz="0" w:space="0" w:color="auto"/>
            <w:bottom w:val="none" w:sz="0" w:space="0" w:color="auto"/>
            <w:right w:val="none" w:sz="0" w:space="0" w:color="auto"/>
          </w:divBdr>
        </w:div>
        <w:div w:id="1315715729">
          <w:marLeft w:val="0"/>
          <w:marRight w:val="0"/>
          <w:marTop w:val="0"/>
          <w:marBottom w:val="0"/>
          <w:divBdr>
            <w:top w:val="none" w:sz="0" w:space="0" w:color="auto"/>
            <w:left w:val="none" w:sz="0" w:space="0" w:color="auto"/>
            <w:bottom w:val="none" w:sz="0" w:space="0" w:color="auto"/>
            <w:right w:val="none" w:sz="0" w:space="0" w:color="auto"/>
          </w:divBdr>
        </w:div>
        <w:div w:id="1608006077">
          <w:marLeft w:val="0"/>
          <w:marRight w:val="0"/>
          <w:marTop w:val="0"/>
          <w:marBottom w:val="0"/>
          <w:divBdr>
            <w:top w:val="none" w:sz="0" w:space="0" w:color="auto"/>
            <w:left w:val="none" w:sz="0" w:space="0" w:color="auto"/>
            <w:bottom w:val="none" w:sz="0" w:space="0" w:color="auto"/>
            <w:right w:val="none" w:sz="0" w:space="0" w:color="auto"/>
          </w:divBdr>
        </w:div>
        <w:div w:id="689910961">
          <w:marLeft w:val="0"/>
          <w:marRight w:val="0"/>
          <w:marTop w:val="0"/>
          <w:marBottom w:val="0"/>
          <w:divBdr>
            <w:top w:val="none" w:sz="0" w:space="0" w:color="auto"/>
            <w:left w:val="none" w:sz="0" w:space="0" w:color="auto"/>
            <w:bottom w:val="none" w:sz="0" w:space="0" w:color="auto"/>
            <w:right w:val="none" w:sz="0" w:space="0" w:color="auto"/>
          </w:divBdr>
        </w:div>
        <w:div w:id="1955750704">
          <w:marLeft w:val="0"/>
          <w:marRight w:val="0"/>
          <w:marTop w:val="0"/>
          <w:marBottom w:val="0"/>
          <w:divBdr>
            <w:top w:val="none" w:sz="0" w:space="0" w:color="auto"/>
            <w:left w:val="none" w:sz="0" w:space="0" w:color="auto"/>
            <w:bottom w:val="none" w:sz="0" w:space="0" w:color="auto"/>
            <w:right w:val="none" w:sz="0" w:space="0" w:color="auto"/>
          </w:divBdr>
        </w:div>
        <w:div w:id="1273783631">
          <w:marLeft w:val="0"/>
          <w:marRight w:val="0"/>
          <w:marTop w:val="0"/>
          <w:marBottom w:val="0"/>
          <w:divBdr>
            <w:top w:val="none" w:sz="0" w:space="0" w:color="auto"/>
            <w:left w:val="none" w:sz="0" w:space="0" w:color="auto"/>
            <w:bottom w:val="none" w:sz="0" w:space="0" w:color="auto"/>
            <w:right w:val="none" w:sz="0" w:space="0" w:color="auto"/>
          </w:divBdr>
        </w:div>
        <w:div w:id="995377772">
          <w:marLeft w:val="0"/>
          <w:marRight w:val="0"/>
          <w:marTop w:val="0"/>
          <w:marBottom w:val="0"/>
          <w:divBdr>
            <w:top w:val="none" w:sz="0" w:space="0" w:color="auto"/>
            <w:left w:val="none" w:sz="0" w:space="0" w:color="auto"/>
            <w:bottom w:val="none" w:sz="0" w:space="0" w:color="auto"/>
            <w:right w:val="none" w:sz="0" w:space="0" w:color="auto"/>
          </w:divBdr>
        </w:div>
      </w:divsChild>
    </w:div>
    <w:div w:id="1425876986">
      <w:bodyDiv w:val="1"/>
      <w:marLeft w:val="0"/>
      <w:marRight w:val="0"/>
      <w:marTop w:val="0"/>
      <w:marBottom w:val="0"/>
      <w:divBdr>
        <w:top w:val="none" w:sz="0" w:space="0" w:color="auto"/>
        <w:left w:val="none" w:sz="0" w:space="0" w:color="auto"/>
        <w:bottom w:val="none" w:sz="0" w:space="0" w:color="auto"/>
        <w:right w:val="none" w:sz="0" w:space="0" w:color="auto"/>
      </w:divBdr>
      <w:divsChild>
        <w:div w:id="1194880715">
          <w:marLeft w:val="0"/>
          <w:marRight w:val="0"/>
          <w:marTop w:val="0"/>
          <w:marBottom w:val="0"/>
          <w:divBdr>
            <w:top w:val="none" w:sz="0" w:space="0" w:color="auto"/>
            <w:left w:val="none" w:sz="0" w:space="0" w:color="auto"/>
            <w:bottom w:val="none" w:sz="0" w:space="0" w:color="auto"/>
            <w:right w:val="none" w:sz="0" w:space="0" w:color="auto"/>
          </w:divBdr>
        </w:div>
        <w:div w:id="276377512">
          <w:marLeft w:val="0"/>
          <w:marRight w:val="0"/>
          <w:marTop w:val="0"/>
          <w:marBottom w:val="0"/>
          <w:divBdr>
            <w:top w:val="none" w:sz="0" w:space="0" w:color="auto"/>
            <w:left w:val="none" w:sz="0" w:space="0" w:color="auto"/>
            <w:bottom w:val="none" w:sz="0" w:space="0" w:color="auto"/>
            <w:right w:val="none" w:sz="0" w:space="0" w:color="auto"/>
          </w:divBdr>
        </w:div>
      </w:divsChild>
    </w:div>
    <w:div w:id="1492411206">
      <w:bodyDiv w:val="1"/>
      <w:marLeft w:val="0"/>
      <w:marRight w:val="0"/>
      <w:marTop w:val="0"/>
      <w:marBottom w:val="0"/>
      <w:divBdr>
        <w:top w:val="none" w:sz="0" w:space="0" w:color="auto"/>
        <w:left w:val="none" w:sz="0" w:space="0" w:color="auto"/>
        <w:bottom w:val="none" w:sz="0" w:space="0" w:color="auto"/>
        <w:right w:val="none" w:sz="0" w:space="0" w:color="auto"/>
      </w:divBdr>
      <w:divsChild>
        <w:div w:id="1293512484">
          <w:marLeft w:val="0"/>
          <w:marRight w:val="0"/>
          <w:marTop w:val="0"/>
          <w:marBottom w:val="0"/>
          <w:divBdr>
            <w:top w:val="none" w:sz="0" w:space="0" w:color="auto"/>
            <w:left w:val="none" w:sz="0" w:space="0" w:color="auto"/>
            <w:bottom w:val="none" w:sz="0" w:space="0" w:color="auto"/>
            <w:right w:val="none" w:sz="0" w:space="0" w:color="auto"/>
          </w:divBdr>
        </w:div>
        <w:div w:id="1399744446">
          <w:marLeft w:val="0"/>
          <w:marRight w:val="0"/>
          <w:marTop w:val="0"/>
          <w:marBottom w:val="0"/>
          <w:divBdr>
            <w:top w:val="none" w:sz="0" w:space="0" w:color="auto"/>
            <w:left w:val="none" w:sz="0" w:space="0" w:color="auto"/>
            <w:bottom w:val="none" w:sz="0" w:space="0" w:color="auto"/>
            <w:right w:val="none" w:sz="0" w:space="0" w:color="auto"/>
          </w:divBdr>
        </w:div>
        <w:div w:id="2025089405">
          <w:marLeft w:val="0"/>
          <w:marRight w:val="0"/>
          <w:marTop w:val="0"/>
          <w:marBottom w:val="0"/>
          <w:divBdr>
            <w:top w:val="none" w:sz="0" w:space="0" w:color="auto"/>
            <w:left w:val="none" w:sz="0" w:space="0" w:color="auto"/>
            <w:bottom w:val="none" w:sz="0" w:space="0" w:color="auto"/>
            <w:right w:val="none" w:sz="0" w:space="0" w:color="auto"/>
          </w:divBdr>
        </w:div>
        <w:div w:id="2128968026">
          <w:marLeft w:val="0"/>
          <w:marRight w:val="0"/>
          <w:marTop w:val="0"/>
          <w:marBottom w:val="0"/>
          <w:divBdr>
            <w:top w:val="none" w:sz="0" w:space="0" w:color="auto"/>
            <w:left w:val="none" w:sz="0" w:space="0" w:color="auto"/>
            <w:bottom w:val="none" w:sz="0" w:space="0" w:color="auto"/>
            <w:right w:val="none" w:sz="0" w:space="0" w:color="auto"/>
          </w:divBdr>
        </w:div>
        <w:div w:id="222646115">
          <w:marLeft w:val="0"/>
          <w:marRight w:val="0"/>
          <w:marTop w:val="0"/>
          <w:marBottom w:val="0"/>
          <w:divBdr>
            <w:top w:val="none" w:sz="0" w:space="0" w:color="auto"/>
            <w:left w:val="none" w:sz="0" w:space="0" w:color="auto"/>
            <w:bottom w:val="none" w:sz="0" w:space="0" w:color="auto"/>
            <w:right w:val="none" w:sz="0" w:space="0" w:color="auto"/>
          </w:divBdr>
        </w:div>
        <w:div w:id="731654719">
          <w:marLeft w:val="0"/>
          <w:marRight w:val="0"/>
          <w:marTop w:val="0"/>
          <w:marBottom w:val="0"/>
          <w:divBdr>
            <w:top w:val="none" w:sz="0" w:space="0" w:color="auto"/>
            <w:left w:val="none" w:sz="0" w:space="0" w:color="auto"/>
            <w:bottom w:val="none" w:sz="0" w:space="0" w:color="auto"/>
            <w:right w:val="none" w:sz="0" w:space="0" w:color="auto"/>
          </w:divBdr>
        </w:div>
        <w:div w:id="1439176552">
          <w:marLeft w:val="0"/>
          <w:marRight w:val="0"/>
          <w:marTop w:val="0"/>
          <w:marBottom w:val="0"/>
          <w:divBdr>
            <w:top w:val="none" w:sz="0" w:space="0" w:color="auto"/>
            <w:left w:val="none" w:sz="0" w:space="0" w:color="auto"/>
            <w:bottom w:val="none" w:sz="0" w:space="0" w:color="auto"/>
            <w:right w:val="none" w:sz="0" w:space="0" w:color="auto"/>
          </w:divBdr>
        </w:div>
        <w:div w:id="2106612492">
          <w:marLeft w:val="0"/>
          <w:marRight w:val="0"/>
          <w:marTop w:val="0"/>
          <w:marBottom w:val="0"/>
          <w:divBdr>
            <w:top w:val="none" w:sz="0" w:space="0" w:color="auto"/>
            <w:left w:val="none" w:sz="0" w:space="0" w:color="auto"/>
            <w:bottom w:val="none" w:sz="0" w:space="0" w:color="auto"/>
            <w:right w:val="none" w:sz="0" w:space="0" w:color="auto"/>
          </w:divBdr>
        </w:div>
        <w:div w:id="1856923441">
          <w:marLeft w:val="0"/>
          <w:marRight w:val="0"/>
          <w:marTop w:val="0"/>
          <w:marBottom w:val="0"/>
          <w:divBdr>
            <w:top w:val="none" w:sz="0" w:space="0" w:color="auto"/>
            <w:left w:val="none" w:sz="0" w:space="0" w:color="auto"/>
            <w:bottom w:val="none" w:sz="0" w:space="0" w:color="auto"/>
            <w:right w:val="none" w:sz="0" w:space="0" w:color="auto"/>
          </w:divBdr>
        </w:div>
        <w:div w:id="1636526748">
          <w:marLeft w:val="0"/>
          <w:marRight w:val="0"/>
          <w:marTop w:val="0"/>
          <w:marBottom w:val="0"/>
          <w:divBdr>
            <w:top w:val="none" w:sz="0" w:space="0" w:color="auto"/>
            <w:left w:val="none" w:sz="0" w:space="0" w:color="auto"/>
            <w:bottom w:val="none" w:sz="0" w:space="0" w:color="auto"/>
            <w:right w:val="none" w:sz="0" w:space="0" w:color="auto"/>
          </w:divBdr>
        </w:div>
        <w:div w:id="125900073">
          <w:marLeft w:val="0"/>
          <w:marRight w:val="0"/>
          <w:marTop w:val="0"/>
          <w:marBottom w:val="0"/>
          <w:divBdr>
            <w:top w:val="none" w:sz="0" w:space="0" w:color="auto"/>
            <w:left w:val="none" w:sz="0" w:space="0" w:color="auto"/>
            <w:bottom w:val="none" w:sz="0" w:space="0" w:color="auto"/>
            <w:right w:val="none" w:sz="0" w:space="0" w:color="auto"/>
          </w:divBdr>
        </w:div>
        <w:div w:id="1491168476">
          <w:marLeft w:val="0"/>
          <w:marRight w:val="0"/>
          <w:marTop w:val="0"/>
          <w:marBottom w:val="0"/>
          <w:divBdr>
            <w:top w:val="none" w:sz="0" w:space="0" w:color="auto"/>
            <w:left w:val="none" w:sz="0" w:space="0" w:color="auto"/>
            <w:bottom w:val="none" w:sz="0" w:space="0" w:color="auto"/>
            <w:right w:val="none" w:sz="0" w:space="0" w:color="auto"/>
          </w:divBdr>
        </w:div>
      </w:divsChild>
    </w:div>
    <w:div w:id="1638875085">
      <w:bodyDiv w:val="1"/>
      <w:marLeft w:val="0"/>
      <w:marRight w:val="0"/>
      <w:marTop w:val="0"/>
      <w:marBottom w:val="0"/>
      <w:divBdr>
        <w:top w:val="none" w:sz="0" w:space="0" w:color="auto"/>
        <w:left w:val="none" w:sz="0" w:space="0" w:color="auto"/>
        <w:bottom w:val="none" w:sz="0" w:space="0" w:color="auto"/>
        <w:right w:val="none" w:sz="0" w:space="0" w:color="auto"/>
      </w:divBdr>
      <w:divsChild>
        <w:div w:id="2020769729">
          <w:marLeft w:val="0"/>
          <w:marRight w:val="0"/>
          <w:marTop w:val="0"/>
          <w:marBottom w:val="0"/>
          <w:divBdr>
            <w:top w:val="none" w:sz="0" w:space="0" w:color="auto"/>
            <w:left w:val="none" w:sz="0" w:space="0" w:color="auto"/>
            <w:bottom w:val="none" w:sz="0" w:space="0" w:color="auto"/>
            <w:right w:val="none" w:sz="0" w:space="0" w:color="auto"/>
          </w:divBdr>
        </w:div>
        <w:div w:id="777681735">
          <w:marLeft w:val="0"/>
          <w:marRight w:val="0"/>
          <w:marTop w:val="0"/>
          <w:marBottom w:val="0"/>
          <w:divBdr>
            <w:top w:val="none" w:sz="0" w:space="0" w:color="auto"/>
            <w:left w:val="none" w:sz="0" w:space="0" w:color="auto"/>
            <w:bottom w:val="none" w:sz="0" w:space="0" w:color="auto"/>
            <w:right w:val="none" w:sz="0" w:space="0" w:color="auto"/>
          </w:divBdr>
        </w:div>
        <w:div w:id="2034379174">
          <w:marLeft w:val="0"/>
          <w:marRight w:val="0"/>
          <w:marTop w:val="0"/>
          <w:marBottom w:val="0"/>
          <w:divBdr>
            <w:top w:val="none" w:sz="0" w:space="0" w:color="auto"/>
            <w:left w:val="none" w:sz="0" w:space="0" w:color="auto"/>
            <w:bottom w:val="none" w:sz="0" w:space="0" w:color="auto"/>
            <w:right w:val="none" w:sz="0" w:space="0" w:color="auto"/>
          </w:divBdr>
        </w:div>
        <w:div w:id="1595742800">
          <w:marLeft w:val="0"/>
          <w:marRight w:val="0"/>
          <w:marTop w:val="0"/>
          <w:marBottom w:val="0"/>
          <w:divBdr>
            <w:top w:val="none" w:sz="0" w:space="0" w:color="auto"/>
            <w:left w:val="none" w:sz="0" w:space="0" w:color="auto"/>
            <w:bottom w:val="none" w:sz="0" w:space="0" w:color="auto"/>
            <w:right w:val="none" w:sz="0" w:space="0" w:color="auto"/>
          </w:divBdr>
        </w:div>
        <w:div w:id="1912933516">
          <w:marLeft w:val="0"/>
          <w:marRight w:val="0"/>
          <w:marTop w:val="0"/>
          <w:marBottom w:val="0"/>
          <w:divBdr>
            <w:top w:val="none" w:sz="0" w:space="0" w:color="auto"/>
            <w:left w:val="none" w:sz="0" w:space="0" w:color="auto"/>
            <w:bottom w:val="none" w:sz="0" w:space="0" w:color="auto"/>
            <w:right w:val="none" w:sz="0" w:space="0" w:color="auto"/>
          </w:divBdr>
        </w:div>
      </w:divsChild>
    </w:div>
    <w:div w:id="2022075829">
      <w:bodyDiv w:val="1"/>
      <w:marLeft w:val="0"/>
      <w:marRight w:val="0"/>
      <w:marTop w:val="0"/>
      <w:marBottom w:val="0"/>
      <w:divBdr>
        <w:top w:val="none" w:sz="0" w:space="0" w:color="auto"/>
        <w:left w:val="none" w:sz="0" w:space="0" w:color="auto"/>
        <w:bottom w:val="none" w:sz="0" w:space="0" w:color="auto"/>
        <w:right w:val="none" w:sz="0" w:space="0" w:color="auto"/>
      </w:divBdr>
      <w:divsChild>
        <w:div w:id="2101440969">
          <w:marLeft w:val="0"/>
          <w:marRight w:val="0"/>
          <w:marTop w:val="0"/>
          <w:marBottom w:val="0"/>
          <w:divBdr>
            <w:top w:val="none" w:sz="0" w:space="0" w:color="auto"/>
            <w:left w:val="none" w:sz="0" w:space="0" w:color="auto"/>
            <w:bottom w:val="none" w:sz="0" w:space="0" w:color="auto"/>
            <w:right w:val="none" w:sz="0" w:space="0" w:color="auto"/>
          </w:divBdr>
        </w:div>
        <w:div w:id="1214348524">
          <w:marLeft w:val="0"/>
          <w:marRight w:val="0"/>
          <w:marTop w:val="0"/>
          <w:marBottom w:val="0"/>
          <w:divBdr>
            <w:top w:val="none" w:sz="0" w:space="0" w:color="auto"/>
            <w:left w:val="none" w:sz="0" w:space="0" w:color="auto"/>
            <w:bottom w:val="none" w:sz="0" w:space="0" w:color="auto"/>
            <w:right w:val="none" w:sz="0" w:space="0" w:color="auto"/>
          </w:divBdr>
        </w:div>
        <w:div w:id="702362508">
          <w:marLeft w:val="0"/>
          <w:marRight w:val="0"/>
          <w:marTop w:val="0"/>
          <w:marBottom w:val="0"/>
          <w:divBdr>
            <w:top w:val="none" w:sz="0" w:space="0" w:color="auto"/>
            <w:left w:val="none" w:sz="0" w:space="0" w:color="auto"/>
            <w:bottom w:val="none" w:sz="0" w:space="0" w:color="auto"/>
            <w:right w:val="none" w:sz="0" w:space="0" w:color="auto"/>
          </w:divBdr>
        </w:div>
        <w:div w:id="733431019">
          <w:marLeft w:val="0"/>
          <w:marRight w:val="0"/>
          <w:marTop w:val="0"/>
          <w:marBottom w:val="0"/>
          <w:divBdr>
            <w:top w:val="none" w:sz="0" w:space="0" w:color="auto"/>
            <w:left w:val="none" w:sz="0" w:space="0" w:color="auto"/>
            <w:bottom w:val="none" w:sz="0" w:space="0" w:color="auto"/>
            <w:right w:val="none" w:sz="0" w:space="0" w:color="auto"/>
          </w:divBdr>
        </w:div>
        <w:div w:id="33202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ca.europa.eu/Lists/ECADocuments/SR18_21/SR_PROJECT_PERFORMANCE_S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368</Words>
  <Characters>2102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2018-09-04T18:21:00Z</dcterms:created>
  <dcterms:modified xsi:type="dcterms:W3CDTF">2018-09-07T15:27:00Z</dcterms:modified>
</cp:coreProperties>
</file>