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5B64" w:rsidRDefault="009F5B64" w:rsidP="009F5B64">
      <w:pPr>
        <w:tabs>
          <w:tab w:val="left" w:pos="2520"/>
          <w:tab w:val="left" w:pos="2700"/>
          <w:tab w:val="left" w:pos="3120"/>
        </w:tabs>
        <w:jc w:val="center"/>
      </w:pPr>
      <w:r>
        <w:rPr>
          <w:noProof/>
          <w:lang w:eastAsia="sl-SI"/>
        </w:rPr>
        <w:drawing>
          <wp:inline distT="0" distB="0" distL="0" distR="0">
            <wp:extent cx="2000250" cy="1028700"/>
            <wp:effectExtent l="19050" t="0" r="0" b="0"/>
            <wp:docPr id="3"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9F5B64" w:rsidRDefault="009F5B64" w:rsidP="009F5B64">
      <w:pPr>
        <w:pStyle w:val="Naslov2"/>
        <w:tabs>
          <w:tab w:val="left" w:pos="3120"/>
        </w:tabs>
        <w:jc w:val="center"/>
        <w:rPr>
          <w:b w:val="0"/>
          <w:bCs w:val="0"/>
          <w:i/>
          <w:iCs/>
          <w:sz w:val="22"/>
        </w:rPr>
      </w:pPr>
      <w:r>
        <w:rPr>
          <w:b w:val="0"/>
          <w:bCs w:val="0"/>
          <w:sz w:val="22"/>
        </w:rPr>
        <w:t>Slovensko gospodarsko in raziskovalno združenje, Bruselj</w:t>
      </w:r>
    </w:p>
    <w:p w:rsidR="009F5B64" w:rsidRDefault="009F5B64" w:rsidP="009F5B64">
      <w:pPr>
        <w:pBdr>
          <w:bottom w:val="single" w:sz="6" w:space="1" w:color="auto"/>
        </w:pBdr>
        <w:tabs>
          <w:tab w:val="left" w:pos="3120"/>
        </w:tabs>
        <w:jc w:val="center"/>
        <w:rPr>
          <w:sz w:val="16"/>
          <w:szCs w:val="16"/>
        </w:rPr>
      </w:pPr>
    </w:p>
    <w:p w:rsidR="009F5B64" w:rsidRPr="003874AA" w:rsidRDefault="009F5B64" w:rsidP="009F5B64">
      <w:pPr>
        <w:tabs>
          <w:tab w:val="left" w:pos="3120"/>
        </w:tabs>
        <w:jc w:val="center"/>
        <w:rPr>
          <w:rFonts w:ascii="Arial" w:hAnsi="Arial" w:cs="Arial"/>
          <w:b/>
        </w:rPr>
      </w:pPr>
      <w:r>
        <w:rPr>
          <w:rFonts w:ascii="Arial" w:hAnsi="Arial" w:cs="Arial"/>
          <w:b/>
        </w:rPr>
        <w:t xml:space="preserve">Občasna informacija članom 137 </w:t>
      </w:r>
      <w:r w:rsidRPr="003874AA">
        <w:rPr>
          <w:rFonts w:ascii="Arial" w:hAnsi="Arial" w:cs="Arial"/>
          <w:b/>
        </w:rPr>
        <w:t>– 2017</w:t>
      </w:r>
    </w:p>
    <w:p w:rsidR="009F5B64" w:rsidRPr="003874AA" w:rsidRDefault="009F5B64" w:rsidP="009F5B64">
      <w:pPr>
        <w:tabs>
          <w:tab w:val="left" w:pos="3120"/>
        </w:tabs>
        <w:jc w:val="center"/>
        <w:rPr>
          <w:rFonts w:ascii="Arial" w:hAnsi="Arial" w:cs="Arial"/>
          <w:b/>
        </w:rPr>
      </w:pPr>
      <w:r>
        <w:rPr>
          <w:rFonts w:ascii="Arial" w:hAnsi="Arial" w:cs="Arial"/>
          <w:b/>
        </w:rPr>
        <w:t>25</w:t>
      </w:r>
      <w:r w:rsidRPr="003874AA">
        <w:rPr>
          <w:rFonts w:ascii="Arial" w:hAnsi="Arial" w:cs="Arial"/>
          <w:b/>
        </w:rPr>
        <w:t xml:space="preserve">. </w:t>
      </w:r>
      <w:r>
        <w:rPr>
          <w:rFonts w:ascii="Arial" w:hAnsi="Arial" w:cs="Arial"/>
          <w:b/>
        </w:rPr>
        <w:t>september</w:t>
      </w:r>
      <w:r w:rsidRPr="003874AA">
        <w:rPr>
          <w:rFonts w:ascii="Arial" w:hAnsi="Arial" w:cs="Arial"/>
          <w:b/>
        </w:rPr>
        <w:t xml:space="preserve"> 2017</w:t>
      </w:r>
    </w:p>
    <w:p w:rsidR="009F5B64" w:rsidRDefault="009F5B64" w:rsidP="009F5B64">
      <w:pPr>
        <w:jc w:val="center"/>
        <w:rPr>
          <w:rFonts w:ascii="Arial" w:hAnsi="Arial" w:cs="Arial"/>
          <w:b/>
          <w:i/>
        </w:rPr>
      </w:pPr>
      <w:r>
        <w:rPr>
          <w:rFonts w:ascii="Arial" w:hAnsi="Arial" w:cs="Arial"/>
          <w:b/>
          <w:color w:val="993300"/>
          <w:sz w:val="32"/>
          <w:szCs w:val="32"/>
        </w:rPr>
        <w:t>Prenovljena strategija EU za industrijsko politiko</w:t>
      </w:r>
    </w:p>
    <w:p w:rsidR="00B76DBE" w:rsidRPr="00B76DBE" w:rsidRDefault="00B76DBE" w:rsidP="00B76DBE">
      <w:pPr>
        <w:rPr>
          <w:rFonts w:ascii="Arial" w:hAnsi="Arial" w:cs="Arial"/>
          <w:b/>
          <w:i/>
        </w:rPr>
      </w:pPr>
      <w:r w:rsidRPr="00B76DBE">
        <w:rPr>
          <w:rFonts w:ascii="Arial" w:hAnsi="Arial" w:cs="Arial"/>
          <w:b/>
          <w:i/>
        </w:rPr>
        <w:t xml:space="preserve">Evropska komisija je predstavila prenovljeno strategijo EU za industrijsko politiko, ki združuje vse obstoječe in nove horizontalne in sektorske pobude v enotno strategijo. Glavni novi elementi so celovit sveženj za okrepitev kibernetske varnosti industrije, predlog uredbe o prostem pretoku neosebnih podatkov, razširitev programa znanj in spretnosti razširitev programa znanj in spretnosti na nove ključne industrijske sektorje, zlasti gradbeništvo, jeklarstvo, papirništvo, zelene tehnologije in energijo iz obnovljivih virov, proizvodnjo in pomorski pomet. </w:t>
      </w:r>
    </w:p>
    <w:p w:rsidR="00B76DBE" w:rsidRPr="00B76DBE" w:rsidRDefault="00B76DBE" w:rsidP="00B76DBE">
      <w:pPr>
        <w:rPr>
          <w:rFonts w:ascii="Arial" w:hAnsi="Arial" w:cs="Arial"/>
          <w:sz w:val="20"/>
          <w:szCs w:val="20"/>
        </w:rPr>
      </w:pPr>
      <w:r w:rsidRPr="00B76DBE">
        <w:rPr>
          <w:rFonts w:ascii="Arial" w:hAnsi="Arial" w:cs="Arial"/>
          <w:sz w:val="20"/>
          <w:szCs w:val="20"/>
        </w:rPr>
        <w:t xml:space="preserve">Sveženj za okrepitev kibernetske varnosti industrije vključuje vzpostavitev evropskega raziskovalnega in strokovnega centra za kibernetsko varnost, ki naj bi podpiral razvoj tehnoloških in industrijskih zmogljivosti na področju kibernetske varnosti, ter certifikacijsko shemo EU za izdelke in storitve, ki bo priznana v vseh državah članicah. </w:t>
      </w:r>
    </w:p>
    <w:p w:rsidR="00B76DBE" w:rsidRPr="00B76DBE" w:rsidRDefault="00B76DBE" w:rsidP="00B76DBE">
      <w:pPr>
        <w:rPr>
          <w:rFonts w:ascii="Arial" w:hAnsi="Arial" w:cs="Arial"/>
          <w:sz w:val="20"/>
          <w:szCs w:val="20"/>
        </w:rPr>
      </w:pPr>
      <w:r w:rsidRPr="00B76DBE">
        <w:rPr>
          <w:rFonts w:ascii="Arial" w:hAnsi="Arial" w:cs="Arial"/>
          <w:sz w:val="20"/>
          <w:szCs w:val="20"/>
        </w:rPr>
        <w:t xml:space="preserve">Predlagana uredba o prostem pretoku neosebnih podatkov naj bi omogočila prosto izmenjavo podatkov preko meja, kar naj bi pripomoglo k modernizaciji industrije in oblikovanju skupnega evropskega podatkovnega prostora. Komisija obljublja nov niz ukrepov v zvezi s krožnim gospodarstvom, vključno s strategijo o plastiki in ukrepi za izboljšanje proizvodnje obnovljivih bioloških virov ter njihovo pretvorbo v proizvode na biološki osnovi in bioenergijo. </w:t>
      </w:r>
    </w:p>
    <w:p w:rsidR="00B76DBE" w:rsidRPr="00B76DBE" w:rsidRDefault="00B76DBE" w:rsidP="00B76DBE">
      <w:pPr>
        <w:rPr>
          <w:rFonts w:ascii="Arial" w:hAnsi="Arial" w:cs="Arial"/>
          <w:sz w:val="20"/>
          <w:szCs w:val="20"/>
        </w:rPr>
      </w:pPr>
      <w:r w:rsidRPr="00B76DBE">
        <w:rPr>
          <w:rFonts w:ascii="Arial" w:hAnsi="Arial" w:cs="Arial"/>
          <w:sz w:val="20"/>
          <w:szCs w:val="20"/>
        </w:rPr>
        <w:t xml:space="preserve">Strategija predvideva tudi posodobitev okvira za intelektualno lastnino, pobudo za izboljšanje delovanja javnega naročanja v EU, vključno s prostovoljnim mehanizmom za zagotavljanje jasnosti in smernic organom, ki načrtujejo velike infrastrukturne projekte, ter razširitev programa znanj in spretnosti na nove ključne industrijske sektorje, zlasti gradbeništvo, jeklarstvo, papirništvo, zelene tehnologije in energijo iz obnovljivih virov, proizvodnjo in pomorski pomet. </w:t>
      </w:r>
    </w:p>
    <w:p w:rsidR="00B76DBE" w:rsidRPr="00B76DBE" w:rsidRDefault="00B76DBE" w:rsidP="00B76DBE">
      <w:pPr>
        <w:rPr>
          <w:rFonts w:ascii="Arial" w:hAnsi="Arial" w:cs="Arial"/>
          <w:sz w:val="20"/>
          <w:szCs w:val="20"/>
        </w:rPr>
      </w:pPr>
      <w:r w:rsidRPr="00B76DBE">
        <w:rPr>
          <w:rFonts w:ascii="Arial" w:hAnsi="Arial" w:cs="Arial"/>
          <w:sz w:val="20"/>
          <w:szCs w:val="20"/>
        </w:rPr>
        <w:t xml:space="preserve">Komisija namerava predstaviti strategijo o vzdržnem financiranju za boljše usmerjanje zasebnih kapitalskih tokov v bolj trajnostne naložbe, predvidena je priprava novih predlogov za čisto, konkurenčno in povezano mobilnost, vključno s strožjimi standardi za emisije ogljikovega dioksida za osebna in kombinirana vozila, akcijski načrt o infrastrukturi za alternativna goriva v podporo uvajanju polnilne infrastrukture ter ukrepe za spodbujanje avtonomne vožnje. </w:t>
      </w:r>
    </w:p>
    <w:p w:rsidR="00B76DBE" w:rsidRPr="00B76DBE" w:rsidRDefault="00B76DBE" w:rsidP="00B76DBE">
      <w:pPr>
        <w:rPr>
          <w:rFonts w:ascii="Arial" w:hAnsi="Arial" w:cs="Arial"/>
          <w:b/>
          <w:sz w:val="20"/>
          <w:szCs w:val="20"/>
        </w:rPr>
      </w:pPr>
      <w:r w:rsidRPr="00B76DBE">
        <w:rPr>
          <w:rFonts w:ascii="Arial" w:hAnsi="Arial" w:cs="Arial"/>
          <w:b/>
          <w:sz w:val="20"/>
          <w:szCs w:val="20"/>
        </w:rPr>
        <w:t>Koristne informacije:</w:t>
      </w:r>
    </w:p>
    <w:p w:rsidR="00B76DBE" w:rsidRPr="00B76DBE" w:rsidRDefault="00B76DBE" w:rsidP="00B76DBE">
      <w:pPr>
        <w:pStyle w:val="Odstavekseznama"/>
        <w:numPr>
          <w:ilvl w:val="0"/>
          <w:numId w:val="1"/>
        </w:numPr>
        <w:rPr>
          <w:rFonts w:ascii="Arial" w:hAnsi="Arial" w:cs="Arial"/>
          <w:sz w:val="20"/>
          <w:szCs w:val="20"/>
        </w:rPr>
      </w:pPr>
      <w:r w:rsidRPr="00B76DBE">
        <w:rPr>
          <w:rFonts w:ascii="Arial" w:hAnsi="Arial" w:cs="Arial"/>
          <w:sz w:val="20"/>
          <w:szCs w:val="20"/>
        </w:rPr>
        <w:t>Nova strategija:</w:t>
      </w:r>
    </w:p>
    <w:p w:rsidR="00B76DBE" w:rsidRDefault="00B76DBE" w:rsidP="00B76DBE">
      <w:pPr>
        <w:pStyle w:val="Odstavekseznama"/>
        <w:numPr>
          <w:ilvl w:val="0"/>
          <w:numId w:val="1"/>
        </w:numPr>
        <w:rPr>
          <w:rFonts w:ascii="Arial" w:hAnsi="Arial" w:cs="Arial"/>
          <w:sz w:val="20"/>
          <w:szCs w:val="20"/>
        </w:rPr>
      </w:pPr>
      <w:hyperlink r:id="rId6" w:history="1">
        <w:r w:rsidRPr="00B76DBE">
          <w:rPr>
            <w:rStyle w:val="Hiperpovezava"/>
            <w:rFonts w:ascii="Arial" w:hAnsi="Arial" w:cs="Arial"/>
            <w:sz w:val="20"/>
            <w:szCs w:val="20"/>
          </w:rPr>
          <w:t>http://eur-lex.europa.eu/legal-content/EN/TXT/?uri=COM:2017:479:FIN</w:t>
        </w:r>
      </w:hyperlink>
    </w:p>
    <w:p w:rsidR="00D42E7A" w:rsidRPr="00B76DBE" w:rsidRDefault="00D42E7A" w:rsidP="00D42E7A">
      <w:pPr>
        <w:pStyle w:val="Odstavekseznama"/>
        <w:rPr>
          <w:rFonts w:ascii="Arial" w:hAnsi="Arial" w:cs="Arial"/>
          <w:sz w:val="20"/>
          <w:szCs w:val="20"/>
        </w:rPr>
      </w:pPr>
    </w:p>
    <w:p w:rsidR="00B76DBE" w:rsidRPr="00B76DBE" w:rsidRDefault="00B76DBE" w:rsidP="00B76DBE">
      <w:pPr>
        <w:pStyle w:val="Odstavekseznama"/>
        <w:numPr>
          <w:ilvl w:val="0"/>
          <w:numId w:val="1"/>
        </w:numPr>
        <w:rPr>
          <w:rFonts w:ascii="Arial" w:hAnsi="Arial" w:cs="Arial"/>
          <w:sz w:val="20"/>
          <w:szCs w:val="20"/>
        </w:rPr>
      </w:pPr>
      <w:r w:rsidRPr="00B76DBE">
        <w:rPr>
          <w:rFonts w:ascii="Arial" w:hAnsi="Arial" w:cs="Arial"/>
          <w:sz w:val="20"/>
          <w:szCs w:val="20"/>
        </w:rPr>
        <w:t>Aneks k strategiji:</w:t>
      </w:r>
    </w:p>
    <w:p w:rsidR="00B76DBE" w:rsidRDefault="00B76DBE" w:rsidP="00B76DBE">
      <w:pPr>
        <w:pStyle w:val="Odstavekseznama"/>
        <w:numPr>
          <w:ilvl w:val="0"/>
          <w:numId w:val="1"/>
        </w:numPr>
        <w:rPr>
          <w:rFonts w:ascii="Arial" w:hAnsi="Arial" w:cs="Arial"/>
          <w:sz w:val="20"/>
          <w:szCs w:val="20"/>
        </w:rPr>
      </w:pPr>
      <w:hyperlink r:id="rId7" w:history="1">
        <w:r w:rsidRPr="00B76DBE">
          <w:rPr>
            <w:rStyle w:val="Hiperpovezava"/>
            <w:rFonts w:ascii="Arial" w:hAnsi="Arial" w:cs="Arial"/>
            <w:sz w:val="20"/>
            <w:szCs w:val="20"/>
          </w:rPr>
          <w:t>http://ec.europa.eu/docsroom/documents/25385</w:t>
        </w:r>
      </w:hyperlink>
    </w:p>
    <w:p w:rsidR="00D42E7A" w:rsidRPr="00B76DBE" w:rsidRDefault="00D42E7A" w:rsidP="00D42E7A">
      <w:pPr>
        <w:pStyle w:val="Odstavekseznama"/>
        <w:rPr>
          <w:rFonts w:ascii="Arial" w:hAnsi="Arial" w:cs="Arial"/>
          <w:sz w:val="20"/>
          <w:szCs w:val="20"/>
        </w:rPr>
      </w:pPr>
    </w:p>
    <w:p w:rsidR="00B76DBE" w:rsidRPr="00B76DBE" w:rsidRDefault="00B76DBE" w:rsidP="00B76DBE">
      <w:pPr>
        <w:pStyle w:val="Odstavekseznama"/>
        <w:numPr>
          <w:ilvl w:val="0"/>
          <w:numId w:val="1"/>
        </w:numPr>
        <w:rPr>
          <w:rFonts w:ascii="Arial" w:hAnsi="Arial" w:cs="Arial"/>
          <w:sz w:val="20"/>
          <w:szCs w:val="20"/>
        </w:rPr>
      </w:pPr>
      <w:r w:rsidRPr="00B76DBE">
        <w:rPr>
          <w:rFonts w:ascii="Arial" w:hAnsi="Arial" w:cs="Arial"/>
          <w:sz w:val="20"/>
          <w:szCs w:val="20"/>
        </w:rPr>
        <w:t>Seznam kritičnih surovin 2017:</w:t>
      </w:r>
    </w:p>
    <w:p w:rsidR="00B76DBE" w:rsidRPr="00B76DBE" w:rsidRDefault="00B76DBE" w:rsidP="00B76DBE">
      <w:pPr>
        <w:pStyle w:val="Odstavekseznama"/>
        <w:numPr>
          <w:ilvl w:val="0"/>
          <w:numId w:val="1"/>
        </w:numPr>
        <w:rPr>
          <w:rFonts w:ascii="Arial" w:hAnsi="Arial" w:cs="Arial"/>
          <w:sz w:val="20"/>
          <w:szCs w:val="20"/>
        </w:rPr>
      </w:pPr>
      <w:hyperlink r:id="rId8" w:history="1">
        <w:r w:rsidRPr="00B76DBE">
          <w:rPr>
            <w:rStyle w:val="Hiperpovezava"/>
            <w:rFonts w:ascii="Arial" w:hAnsi="Arial" w:cs="Arial"/>
            <w:sz w:val="20"/>
            <w:szCs w:val="20"/>
          </w:rPr>
          <w:t>http://ec.europa.eu/docsroom/documents/25386</w:t>
        </w:r>
      </w:hyperlink>
      <w:r w:rsidRPr="00B76DBE">
        <w:rPr>
          <w:rFonts w:ascii="Arial" w:hAnsi="Arial" w:cs="Arial"/>
          <w:sz w:val="20"/>
          <w:szCs w:val="20"/>
        </w:rPr>
        <w:t xml:space="preserve"> </w:t>
      </w:r>
    </w:p>
    <w:p w:rsidR="00B76DBE" w:rsidRPr="00B76DBE" w:rsidRDefault="00B76DBE" w:rsidP="00B76DBE">
      <w:pPr>
        <w:rPr>
          <w:rFonts w:ascii="Arial" w:hAnsi="Arial" w:cs="Arial"/>
          <w:sz w:val="20"/>
          <w:szCs w:val="20"/>
        </w:rPr>
      </w:pPr>
      <w:r w:rsidRPr="00B76DBE">
        <w:rPr>
          <w:rFonts w:ascii="Arial" w:hAnsi="Arial" w:cs="Arial"/>
          <w:sz w:val="20"/>
          <w:szCs w:val="20"/>
        </w:rPr>
        <w:t>Pripravila:</w:t>
      </w:r>
    </w:p>
    <w:p w:rsidR="00B76DBE" w:rsidRPr="00B76DBE" w:rsidRDefault="00B76DBE" w:rsidP="00B76DBE">
      <w:pPr>
        <w:rPr>
          <w:rFonts w:ascii="Arial" w:hAnsi="Arial" w:cs="Arial"/>
          <w:sz w:val="20"/>
          <w:szCs w:val="20"/>
        </w:rPr>
      </w:pPr>
      <w:r w:rsidRPr="00B76DBE">
        <w:rPr>
          <w:rFonts w:ascii="Arial" w:hAnsi="Arial" w:cs="Arial"/>
          <w:sz w:val="20"/>
          <w:szCs w:val="20"/>
        </w:rPr>
        <w:t>Darja Kocbek</w:t>
      </w:r>
    </w:p>
    <w:p w:rsidR="00B459D4" w:rsidRPr="00B76DBE" w:rsidRDefault="00B459D4" w:rsidP="00B76DBE">
      <w:pPr>
        <w:rPr>
          <w:rFonts w:ascii="Arial" w:hAnsi="Arial" w:cs="Arial"/>
          <w:sz w:val="20"/>
          <w:szCs w:val="20"/>
        </w:rPr>
      </w:pPr>
    </w:p>
    <w:sectPr w:rsidR="00B459D4" w:rsidRPr="00B76DBE" w:rsidSect="00B459D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7515C4"/>
    <w:multiLevelType w:val="hybridMultilevel"/>
    <w:tmpl w:val="6DF6046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76DBE"/>
    <w:rsid w:val="001F49F4"/>
    <w:rsid w:val="009F5B64"/>
    <w:rsid w:val="00B459D4"/>
    <w:rsid w:val="00B76DBE"/>
    <w:rsid w:val="00D42E7A"/>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459D4"/>
  </w:style>
  <w:style w:type="paragraph" w:styleId="Naslov2">
    <w:name w:val="heading 2"/>
    <w:basedOn w:val="Navaden"/>
    <w:next w:val="Navaden"/>
    <w:link w:val="Naslov2Znak"/>
    <w:uiPriority w:val="9"/>
    <w:semiHidden/>
    <w:unhideWhenUsed/>
    <w:qFormat/>
    <w:rsid w:val="009F5B6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yiv0099985739msonormal">
    <w:name w:val="yiv0099985739msonormal"/>
    <w:basedOn w:val="Navaden"/>
    <w:rsid w:val="00B76DBE"/>
    <w:pPr>
      <w:spacing w:before="100" w:beforeAutospacing="1"/>
      <w:jc w:val="left"/>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unhideWhenUsed/>
    <w:rsid w:val="00B76DBE"/>
    <w:rPr>
      <w:color w:val="0000FF"/>
      <w:u w:val="single"/>
    </w:rPr>
  </w:style>
  <w:style w:type="character" w:styleId="Krepko">
    <w:name w:val="Strong"/>
    <w:basedOn w:val="Privzetapisavaodstavka"/>
    <w:uiPriority w:val="22"/>
    <w:qFormat/>
    <w:rsid w:val="00B76DBE"/>
    <w:rPr>
      <w:b/>
      <w:bCs/>
    </w:rPr>
  </w:style>
  <w:style w:type="paragraph" w:styleId="Odstavekseznama">
    <w:name w:val="List Paragraph"/>
    <w:basedOn w:val="Navaden"/>
    <w:uiPriority w:val="34"/>
    <w:qFormat/>
    <w:rsid w:val="00B76DBE"/>
    <w:pPr>
      <w:ind w:left="720"/>
      <w:contextualSpacing/>
    </w:pPr>
  </w:style>
  <w:style w:type="character" w:customStyle="1" w:styleId="Naslov2Znak">
    <w:name w:val="Naslov 2 Znak"/>
    <w:basedOn w:val="Privzetapisavaodstavka"/>
    <w:link w:val="Naslov2"/>
    <w:uiPriority w:val="9"/>
    <w:semiHidden/>
    <w:rsid w:val="009F5B64"/>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9F5B64"/>
    <w:pPr>
      <w:spacing w:after="0"/>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9F5B6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10393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c.europa.eu/docsroom/documents/25386" TargetMode="External"/><Relationship Id="rId3" Type="http://schemas.openxmlformats.org/officeDocument/2006/relationships/settings" Target="settings.xml"/><Relationship Id="rId7" Type="http://schemas.openxmlformats.org/officeDocument/2006/relationships/hyperlink" Target="http://ec.europa.eu/docsroom/documents/2538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ur-lex.europa.eu/legal-content/EN/TXT/?uri=COM:2017:479:FIN"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439</Words>
  <Characters>2506</Characters>
  <Application>Microsoft Office Word</Application>
  <DocSecurity>0</DocSecurity>
  <Lines>20</Lines>
  <Paragraphs>5</Paragraphs>
  <ScaleCrop>false</ScaleCrop>
  <Company/>
  <LinksUpToDate>false</LinksUpToDate>
  <CharactersWithSpaces>2940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3</cp:revision>
  <dcterms:created xsi:type="dcterms:W3CDTF">2017-09-18T17:23:00Z</dcterms:created>
  <dcterms:modified xsi:type="dcterms:W3CDTF">2017-09-18T17:37:00Z</dcterms:modified>
</cp:coreProperties>
</file>