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3968" w:rsidRPr="008B0C84" w:rsidRDefault="00713968" w:rsidP="00713968">
      <w:pPr>
        <w:tabs>
          <w:tab w:val="left" w:pos="2520"/>
          <w:tab w:val="left" w:pos="2700"/>
          <w:tab w:val="left" w:pos="3120"/>
        </w:tabs>
        <w:spacing w:after="0"/>
        <w:jc w:val="center"/>
      </w:pPr>
      <w:r w:rsidRPr="008B0C84">
        <w:rPr>
          <w:noProof/>
          <w:lang w:eastAsia="sl-SI"/>
        </w:rPr>
        <w:drawing>
          <wp:inline distT="0" distB="0" distL="0" distR="0">
            <wp:extent cx="2000250" cy="1028700"/>
            <wp:effectExtent l="19050" t="0" r="0" b="0"/>
            <wp:docPr id="3" name="Slika 1" descr="SBRA-cou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BRA-coul"/>
                    <pic:cNvPicPr>
                      <a:picLocks noChangeAspect="1" noChangeArrowheads="1"/>
                    </pic:cNvPicPr>
                  </pic:nvPicPr>
                  <pic:blipFill>
                    <a:blip r:embed="rId5" cstate="print"/>
                    <a:srcRect/>
                    <a:stretch>
                      <a:fillRect/>
                    </a:stretch>
                  </pic:blipFill>
                  <pic:spPr bwMode="auto">
                    <a:xfrm>
                      <a:off x="0" y="0"/>
                      <a:ext cx="2000250" cy="1028700"/>
                    </a:xfrm>
                    <a:prstGeom prst="rect">
                      <a:avLst/>
                    </a:prstGeom>
                    <a:noFill/>
                    <a:ln w="9525">
                      <a:noFill/>
                      <a:miter lim="800000"/>
                      <a:headEnd/>
                      <a:tailEnd/>
                    </a:ln>
                  </pic:spPr>
                </pic:pic>
              </a:graphicData>
            </a:graphic>
          </wp:inline>
        </w:drawing>
      </w:r>
    </w:p>
    <w:p w:rsidR="00713968" w:rsidRPr="008B0C84" w:rsidRDefault="00713968" w:rsidP="00713968">
      <w:pPr>
        <w:pStyle w:val="Naslov2"/>
        <w:tabs>
          <w:tab w:val="left" w:pos="3120"/>
        </w:tabs>
        <w:spacing w:before="0"/>
        <w:jc w:val="center"/>
        <w:rPr>
          <w:sz w:val="22"/>
        </w:rPr>
      </w:pPr>
    </w:p>
    <w:p w:rsidR="00713968" w:rsidRPr="008B0C84" w:rsidRDefault="00713968" w:rsidP="00713968">
      <w:pPr>
        <w:pStyle w:val="Naslov2"/>
        <w:tabs>
          <w:tab w:val="left" w:pos="3120"/>
        </w:tabs>
        <w:spacing w:before="0"/>
        <w:jc w:val="center"/>
        <w:rPr>
          <w:b w:val="0"/>
          <w:bCs w:val="0"/>
          <w:i/>
          <w:iCs/>
          <w:sz w:val="22"/>
        </w:rPr>
      </w:pPr>
      <w:r w:rsidRPr="008B0C84">
        <w:rPr>
          <w:sz w:val="22"/>
        </w:rPr>
        <w:t>Slovensko gospodarsko in raziskovalno združenje, Bruselj</w:t>
      </w:r>
    </w:p>
    <w:p w:rsidR="00713968" w:rsidRPr="000003C1" w:rsidRDefault="00713968" w:rsidP="00713968">
      <w:pPr>
        <w:pBdr>
          <w:bottom w:val="single" w:sz="6" w:space="1" w:color="auto"/>
        </w:pBdr>
        <w:tabs>
          <w:tab w:val="left" w:pos="3120"/>
        </w:tabs>
        <w:spacing w:after="0"/>
        <w:jc w:val="center"/>
        <w:rPr>
          <w:sz w:val="16"/>
          <w:szCs w:val="16"/>
        </w:rPr>
      </w:pPr>
    </w:p>
    <w:p w:rsidR="00713968" w:rsidRPr="000003C1" w:rsidRDefault="00713968" w:rsidP="00713968">
      <w:pPr>
        <w:tabs>
          <w:tab w:val="left" w:pos="3120"/>
        </w:tabs>
        <w:spacing w:after="0"/>
        <w:rPr>
          <w:b/>
        </w:rPr>
      </w:pPr>
      <w:r w:rsidRPr="000003C1">
        <w:rPr>
          <w:b/>
        </w:rPr>
        <w:tab/>
      </w:r>
    </w:p>
    <w:p w:rsidR="00713968" w:rsidRPr="000003C1" w:rsidRDefault="00713968" w:rsidP="00713968">
      <w:pPr>
        <w:tabs>
          <w:tab w:val="left" w:pos="3120"/>
        </w:tabs>
        <w:spacing w:after="0"/>
        <w:jc w:val="center"/>
        <w:rPr>
          <w:b/>
        </w:rPr>
      </w:pPr>
      <w:r>
        <w:rPr>
          <w:b/>
        </w:rPr>
        <w:t xml:space="preserve">Občasna informacija članom 134 </w:t>
      </w:r>
      <w:r w:rsidRPr="000003C1">
        <w:rPr>
          <w:b/>
        </w:rPr>
        <w:t>– 2019</w:t>
      </w:r>
    </w:p>
    <w:p w:rsidR="00713968" w:rsidRPr="000003C1" w:rsidRDefault="00713968" w:rsidP="00713968">
      <w:pPr>
        <w:tabs>
          <w:tab w:val="left" w:pos="3120"/>
        </w:tabs>
        <w:spacing w:after="0"/>
        <w:jc w:val="center"/>
        <w:rPr>
          <w:b/>
        </w:rPr>
      </w:pPr>
      <w:r>
        <w:rPr>
          <w:b/>
        </w:rPr>
        <w:t>16. september</w:t>
      </w:r>
      <w:r w:rsidRPr="000003C1">
        <w:rPr>
          <w:b/>
        </w:rPr>
        <w:t xml:space="preserve"> 2019</w:t>
      </w:r>
    </w:p>
    <w:p w:rsidR="00713968" w:rsidRPr="000003C1" w:rsidRDefault="00713968" w:rsidP="00713968">
      <w:pPr>
        <w:tabs>
          <w:tab w:val="left" w:pos="3120"/>
        </w:tabs>
        <w:spacing w:after="0"/>
        <w:jc w:val="center"/>
        <w:rPr>
          <w:b/>
        </w:rPr>
      </w:pPr>
    </w:p>
    <w:p w:rsidR="00713968" w:rsidRDefault="00B64878" w:rsidP="00713968">
      <w:pPr>
        <w:jc w:val="center"/>
        <w:rPr>
          <w:rFonts w:ascii="Arial" w:hAnsi="Arial" w:cs="Arial"/>
          <w:b/>
          <w:i/>
        </w:rPr>
      </w:pPr>
      <w:r>
        <w:rPr>
          <w:b/>
          <w:color w:val="993300"/>
          <w:sz w:val="32"/>
          <w:szCs w:val="32"/>
        </w:rPr>
        <w:t>Poročilo Evropske komisije o učinkovitosti evropske zakonodaje o obdavčitvi energentov</w:t>
      </w:r>
    </w:p>
    <w:p w:rsidR="00B549A0" w:rsidRPr="009203C1" w:rsidRDefault="00C23A80" w:rsidP="009203C1">
      <w:pPr>
        <w:jc w:val="both"/>
        <w:rPr>
          <w:rFonts w:ascii="Arial" w:hAnsi="Arial" w:cs="Arial"/>
          <w:b/>
          <w:i/>
        </w:rPr>
      </w:pPr>
      <w:r w:rsidRPr="009203C1">
        <w:rPr>
          <w:rFonts w:ascii="Arial" w:hAnsi="Arial" w:cs="Arial"/>
          <w:b/>
          <w:i/>
        </w:rPr>
        <w:t xml:space="preserve">Evropska zakonodaja </w:t>
      </w:r>
      <w:r w:rsidR="00713968" w:rsidRPr="009203C1">
        <w:rPr>
          <w:rFonts w:ascii="Arial" w:hAnsi="Arial" w:cs="Arial"/>
          <w:b/>
          <w:i/>
        </w:rPr>
        <w:t>o</w:t>
      </w:r>
      <w:r w:rsidRPr="009203C1">
        <w:rPr>
          <w:rFonts w:ascii="Arial" w:hAnsi="Arial" w:cs="Arial"/>
          <w:b/>
          <w:i/>
        </w:rPr>
        <w:t xml:space="preserve"> obdavčitv</w:t>
      </w:r>
      <w:r w:rsidR="00713968" w:rsidRPr="009203C1">
        <w:rPr>
          <w:rFonts w:ascii="Arial" w:hAnsi="Arial" w:cs="Arial"/>
          <w:b/>
          <w:i/>
        </w:rPr>
        <w:t>i</w:t>
      </w:r>
      <w:r w:rsidRPr="009203C1">
        <w:rPr>
          <w:rFonts w:ascii="Arial" w:hAnsi="Arial" w:cs="Arial"/>
          <w:b/>
          <w:i/>
        </w:rPr>
        <w:t xml:space="preserve"> energentov nima več enakih pozitivnih učinkov, kot jih je i</w:t>
      </w:r>
      <w:r w:rsidR="00713968" w:rsidRPr="009203C1">
        <w:rPr>
          <w:rFonts w:ascii="Arial" w:hAnsi="Arial" w:cs="Arial"/>
          <w:b/>
          <w:i/>
        </w:rPr>
        <w:t>me</w:t>
      </w:r>
      <w:r w:rsidRPr="009203C1">
        <w:rPr>
          <w:rFonts w:ascii="Arial" w:hAnsi="Arial" w:cs="Arial"/>
          <w:b/>
          <w:i/>
        </w:rPr>
        <w:t xml:space="preserve">la leta 2003, ko je začela veljati, v pravkar objavljenem poročilu ugotavlja Evropska komisija. </w:t>
      </w:r>
      <w:r w:rsidR="009203C1" w:rsidRPr="009203C1">
        <w:rPr>
          <w:rFonts w:ascii="Arial" w:hAnsi="Arial" w:cs="Arial"/>
          <w:b/>
          <w:i/>
        </w:rPr>
        <w:t>Opozarja na velike spremembe pri razvoju tehnologije, nacionalnih davčnih stopenj in energetskih trgov v zadnjih petnajstih letih, ki jih pravila o obdavčenju EU ne upoštevajo ustrezno</w:t>
      </w:r>
      <w:r w:rsidRPr="009203C1">
        <w:rPr>
          <w:rFonts w:ascii="Arial" w:hAnsi="Arial" w:cs="Arial"/>
          <w:b/>
          <w:i/>
        </w:rPr>
        <w:t xml:space="preserve">. </w:t>
      </w:r>
      <w:r w:rsidR="009203C1" w:rsidRPr="009203C1">
        <w:rPr>
          <w:rFonts w:ascii="Arial" w:hAnsi="Arial" w:cs="Arial"/>
          <w:b/>
          <w:i/>
        </w:rPr>
        <w:t>Navaja tudi možnosti, kako bi z okolju bolj prijazno politiko lahko podprli uresničevanje zavez EU na področju podnebnih ukrepov.</w:t>
      </w:r>
    </w:p>
    <w:p w:rsidR="00C23A80" w:rsidRPr="00C76CAD" w:rsidRDefault="00C23A80" w:rsidP="00C76CAD">
      <w:pPr>
        <w:jc w:val="both"/>
        <w:rPr>
          <w:rFonts w:ascii="Arial" w:hAnsi="Arial" w:cs="Arial"/>
          <w:b/>
          <w:sz w:val="20"/>
          <w:szCs w:val="20"/>
        </w:rPr>
      </w:pPr>
      <w:r w:rsidRPr="00C76CAD">
        <w:rPr>
          <w:rFonts w:ascii="Arial" w:hAnsi="Arial" w:cs="Arial"/>
          <w:b/>
          <w:sz w:val="20"/>
          <w:szCs w:val="20"/>
        </w:rPr>
        <w:t>Graf 1: Prihodki držav članic od obdavčitve goriv kot delež BDP v letu 2017</w:t>
      </w:r>
    </w:p>
    <w:p w:rsidR="00C23A80" w:rsidRPr="00C76CAD" w:rsidRDefault="00C23A80" w:rsidP="00C76CAD">
      <w:pPr>
        <w:jc w:val="both"/>
        <w:rPr>
          <w:rFonts w:ascii="Arial" w:hAnsi="Arial" w:cs="Arial"/>
          <w:sz w:val="20"/>
          <w:szCs w:val="20"/>
        </w:rPr>
      </w:pPr>
      <w:r w:rsidRPr="00C76CAD">
        <w:rPr>
          <w:rFonts w:ascii="Arial" w:hAnsi="Arial" w:cs="Arial"/>
          <w:noProof/>
          <w:sz w:val="20"/>
          <w:szCs w:val="20"/>
          <w:lang w:eastAsia="sl-SI"/>
        </w:rPr>
        <w:drawing>
          <wp:inline distT="0" distB="0" distL="0" distR="0">
            <wp:extent cx="5760720" cy="3713655"/>
            <wp:effectExtent l="1905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srcRect/>
                    <a:stretch>
                      <a:fillRect/>
                    </a:stretch>
                  </pic:blipFill>
                  <pic:spPr bwMode="auto">
                    <a:xfrm>
                      <a:off x="0" y="0"/>
                      <a:ext cx="5760720" cy="3713655"/>
                    </a:xfrm>
                    <a:prstGeom prst="rect">
                      <a:avLst/>
                    </a:prstGeom>
                    <a:noFill/>
                    <a:ln w="9525">
                      <a:noFill/>
                      <a:miter lim="800000"/>
                      <a:headEnd/>
                      <a:tailEnd/>
                    </a:ln>
                  </pic:spPr>
                </pic:pic>
              </a:graphicData>
            </a:graphic>
          </wp:inline>
        </w:drawing>
      </w:r>
    </w:p>
    <w:p w:rsidR="00C23A80" w:rsidRPr="00C76CAD" w:rsidRDefault="00C23A80" w:rsidP="00C76CAD">
      <w:pPr>
        <w:jc w:val="both"/>
        <w:rPr>
          <w:rFonts w:ascii="Arial" w:hAnsi="Arial" w:cs="Arial"/>
          <w:sz w:val="20"/>
          <w:szCs w:val="20"/>
        </w:rPr>
      </w:pPr>
      <w:r w:rsidRPr="00C76CAD">
        <w:rPr>
          <w:rFonts w:ascii="Arial" w:hAnsi="Arial" w:cs="Arial"/>
          <w:sz w:val="20"/>
          <w:szCs w:val="20"/>
        </w:rPr>
        <w:t>Vir: Poročilo</w:t>
      </w:r>
    </w:p>
    <w:p w:rsidR="00A147FD" w:rsidRPr="00C76CAD" w:rsidRDefault="0040386E" w:rsidP="00C76CAD">
      <w:pPr>
        <w:jc w:val="both"/>
        <w:rPr>
          <w:rFonts w:ascii="Arial" w:hAnsi="Arial" w:cs="Arial"/>
          <w:sz w:val="20"/>
          <w:szCs w:val="20"/>
        </w:rPr>
      </w:pPr>
      <w:r w:rsidRPr="00C76CAD">
        <w:rPr>
          <w:rFonts w:ascii="Arial" w:hAnsi="Arial" w:cs="Arial"/>
          <w:sz w:val="20"/>
          <w:szCs w:val="20"/>
        </w:rPr>
        <w:lastRenderedPageBreak/>
        <w:t>Leta 2011, ko je bil pripravlj</w:t>
      </w:r>
      <w:r w:rsidR="00A147FD" w:rsidRPr="00C76CAD">
        <w:rPr>
          <w:rFonts w:ascii="Arial" w:hAnsi="Arial" w:cs="Arial"/>
          <w:sz w:val="20"/>
          <w:szCs w:val="20"/>
        </w:rPr>
        <w:t>en predlog za spremembe direktive o obdavčitvi energentov</w:t>
      </w:r>
      <w:r w:rsidRPr="00C76CAD">
        <w:rPr>
          <w:rFonts w:ascii="Arial" w:hAnsi="Arial" w:cs="Arial"/>
          <w:sz w:val="20"/>
          <w:szCs w:val="20"/>
        </w:rPr>
        <w:t>, so na Evropski komisiji države članice razvrstili v dve skupini. V prvi so bile tiste, ki so energente obdavčile po nizki stopnji. V tej skupini so države, ki uporabljajo davčno stopnjo, ki je blizu minimalni in so jo uvedle zgolj zato, ker je to predpisala evropska direktiva. V tej skupini so v glavnem nove države članice z izjemo Slovenije.</w:t>
      </w:r>
    </w:p>
    <w:p w:rsidR="0040386E" w:rsidRPr="00C76CAD" w:rsidRDefault="0040386E" w:rsidP="00C76CAD">
      <w:pPr>
        <w:jc w:val="both"/>
        <w:rPr>
          <w:rFonts w:ascii="Arial" w:hAnsi="Arial" w:cs="Arial"/>
          <w:sz w:val="20"/>
          <w:szCs w:val="20"/>
        </w:rPr>
      </w:pPr>
      <w:r w:rsidRPr="00C76CAD">
        <w:rPr>
          <w:rFonts w:ascii="Arial" w:hAnsi="Arial" w:cs="Arial"/>
          <w:sz w:val="20"/>
          <w:szCs w:val="20"/>
        </w:rPr>
        <w:t xml:space="preserve">V drugi skupini so države z visoko davčno stopnjo za energente. Te države znižano stopnjo davka za energente uporabljajo za energetsko intenzivne panoge. Države se razlikujejo tudi na tiste, ki imajo različne davčne stopnje za energente za ogrevanje, za industrijo in gospodinjstva, in tiste, ki teh razlik nimajo. Države z višjimi davčnimi stopnjami za industrijo uporabljajo  minimalne stopnje davka. Slovenija je navedena med državami, ki so že uvedle obdavčitev energentov ob upoštevanju izpustov  CO2. </w:t>
      </w:r>
    </w:p>
    <w:p w:rsidR="0040386E" w:rsidRPr="00C76CAD" w:rsidRDefault="0040386E" w:rsidP="00C76CAD">
      <w:pPr>
        <w:jc w:val="both"/>
        <w:rPr>
          <w:rFonts w:ascii="Arial" w:hAnsi="Arial" w:cs="Arial"/>
          <w:b/>
          <w:sz w:val="20"/>
          <w:szCs w:val="20"/>
        </w:rPr>
      </w:pPr>
      <w:r w:rsidRPr="00C76CAD">
        <w:rPr>
          <w:rFonts w:ascii="Arial" w:hAnsi="Arial" w:cs="Arial"/>
          <w:b/>
          <w:sz w:val="20"/>
          <w:szCs w:val="20"/>
        </w:rPr>
        <w:t>Koristne informacije:</w:t>
      </w:r>
    </w:p>
    <w:p w:rsidR="0040386E" w:rsidRPr="00C76CAD" w:rsidRDefault="0040386E" w:rsidP="00C76CAD">
      <w:pPr>
        <w:pStyle w:val="Odstavekseznama"/>
        <w:numPr>
          <w:ilvl w:val="0"/>
          <w:numId w:val="1"/>
        </w:numPr>
        <w:jc w:val="both"/>
        <w:rPr>
          <w:rFonts w:ascii="Arial" w:hAnsi="Arial" w:cs="Arial"/>
          <w:sz w:val="20"/>
          <w:szCs w:val="20"/>
        </w:rPr>
      </w:pPr>
      <w:r w:rsidRPr="00C76CAD">
        <w:rPr>
          <w:rFonts w:ascii="Arial" w:hAnsi="Arial" w:cs="Arial"/>
          <w:sz w:val="20"/>
          <w:szCs w:val="20"/>
        </w:rPr>
        <w:t>Poročilo:</w:t>
      </w:r>
    </w:p>
    <w:p w:rsidR="0040386E" w:rsidRPr="00C76CAD" w:rsidRDefault="007E1C07" w:rsidP="00C76CAD">
      <w:pPr>
        <w:pStyle w:val="Odstavekseznama"/>
        <w:numPr>
          <w:ilvl w:val="0"/>
          <w:numId w:val="1"/>
        </w:numPr>
        <w:jc w:val="both"/>
        <w:rPr>
          <w:rFonts w:ascii="Arial" w:hAnsi="Arial" w:cs="Arial"/>
          <w:sz w:val="20"/>
          <w:szCs w:val="20"/>
        </w:rPr>
      </w:pPr>
      <w:hyperlink r:id="rId7" w:anchor="page=1&amp;zoom=auto,-16,370" w:history="1">
        <w:r w:rsidR="0040386E" w:rsidRPr="00C76CAD">
          <w:rPr>
            <w:rStyle w:val="Hiperpovezava"/>
            <w:rFonts w:ascii="Arial" w:hAnsi="Arial" w:cs="Arial"/>
            <w:sz w:val="20"/>
            <w:szCs w:val="20"/>
          </w:rPr>
          <w:t>https://ec.europa.eu/taxation_customs/sites/taxation/files/energy-tax-report-2019.pdf#page=1&amp;zoom=auto,-16,370</w:t>
        </w:r>
      </w:hyperlink>
    </w:p>
    <w:p w:rsidR="0040386E" w:rsidRPr="00C76CAD" w:rsidRDefault="006F1DDA" w:rsidP="00C76CAD">
      <w:pPr>
        <w:spacing w:after="0"/>
        <w:jc w:val="both"/>
        <w:rPr>
          <w:rFonts w:ascii="Arial" w:hAnsi="Arial" w:cs="Arial"/>
          <w:sz w:val="20"/>
          <w:szCs w:val="20"/>
        </w:rPr>
      </w:pPr>
      <w:r w:rsidRPr="00C76CAD">
        <w:rPr>
          <w:rFonts w:ascii="Arial" w:hAnsi="Arial" w:cs="Arial"/>
          <w:sz w:val="20"/>
          <w:szCs w:val="20"/>
        </w:rPr>
        <w:t>Pripravila:</w:t>
      </w:r>
    </w:p>
    <w:p w:rsidR="006F1DDA" w:rsidRPr="00C76CAD" w:rsidRDefault="006F1DDA" w:rsidP="00C76CAD">
      <w:pPr>
        <w:spacing w:after="0"/>
        <w:jc w:val="both"/>
        <w:rPr>
          <w:rFonts w:ascii="Arial" w:hAnsi="Arial" w:cs="Arial"/>
          <w:sz w:val="20"/>
          <w:szCs w:val="20"/>
        </w:rPr>
      </w:pPr>
      <w:r w:rsidRPr="00C76CAD">
        <w:rPr>
          <w:rFonts w:ascii="Arial" w:hAnsi="Arial" w:cs="Arial"/>
          <w:sz w:val="20"/>
          <w:szCs w:val="20"/>
        </w:rPr>
        <w:t>Darja Kocbek</w:t>
      </w:r>
    </w:p>
    <w:sectPr w:rsidR="006F1DDA" w:rsidRPr="00C76CAD" w:rsidSect="00B549A0">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F073CEF"/>
    <w:multiLevelType w:val="hybridMultilevel"/>
    <w:tmpl w:val="AE60122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C23A80"/>
    <w:rsid w:val="0040386E"/>
    <w:rsid w:val="006F1DDA"/>
    <w:rsid w:val="00713968"/>
    <w:rsid w:val="007E1C07"/>
    <w:rsid w:val="009203C1"/>
    <w:rsid w:val="00A147FD"/>
    <w:rsid w:val="00B549A0"/>
    <w:rsid w:val="00B64878"/>
    <w:rsid w:val="00C23A80"/>
    <w:rsid w:val="00C76CAD"/>
    <w:rsid w:val="00F21063"/>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B549A0"/>
  </w:style>
  <w:style w:type="paragraph" w:styleId="Naslov2">
    <w:name w:val="heading 2"/>
    <w:basedOn w:val="Navaden"/>
    <w:next w:val="Navaden"/>
    <w:link w:val="Naslov2Znak"/>
    <w:uiPriority w:val="9"/>
    <w:semiHidden/>
    <w:unhideWhenUsed/>
    <w:qFormat/>
    <w:rsid w:val="0071396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C23A8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C23A80"/>
    <w:rPr>
      <w:rFonts w:ascii="Tahoma" w:hAnsi="Tahoma" w:cs="Tahoma"/>
      <w:sz w:val="16"/>
      <w:szCs w:val="16"/>
    </w:rPr>
  </w:style>
  <w:style w:type="character" w:styleId="Hiperpovezava">
    <w:name w:val="Hyperlink"/>
    <w:basedOn w:val="Privzetapisavaodstavka"/>
    <w:uiPriority w:val="99"/>
    <w:unhideWhenUsed/>
    <w:rsid w:val="0040386E"/>
    <w:rPr>
      <w:color w:val="0000FF" w:themeColor="hyperlink"/>
      <w:u w:val="single"/>
    </w:rPr>
  </w:style>
  <w:style w:type="paragraph" w:styleId="Odstavekseznama">
    <w:name w:val="List Paragraph"/>
    <w:basedOn w:val="Navaden"/>
    <w:uiPriority w:val="34"/>
    <w:qFormat/>
    <w:rsid w:val="00C76CAD"/>
    <w:pPr>
      <w:ind w:left="720"/>
      <w:contextualSpacing/>
    </w:pPr>
  </w:style>
  <w:style w:type="character" w:customStyle="1" w:styleId="Naslov2Znak">
    <w:name w:val="Naslov 2 Znak"/>
    <w:basedOn w:val="Privzetapisavaodstavka"/>
    <w:link w:val="Naslov2"/>
    <w:uiPriority w:val="9"/>
    <w:semiHidden/>
    <w:rsid w:val="00713968"/>
    <w:rPr>
      <w:rFonts w:asciiTheme="majorHAnsi" w:eastAsiaTheme="majorEastAsia" w:hAnsiTheme="majorHAnsi" w:cstheme="majorBidi"/>
      <w:b/>
      <w:bCs/>
      <w:color w:val="4F81BD" w:themeColor="accent1"/>
      <w:sz w:val="26"/>
      <w:szCs w:val="2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ec.europa.eu/taxation_customs/sites/taxation/files/energy-tax-report-2019.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emf"/><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TotalTime>
  <Pages>2</Pages>
  <Words>305</Words>
  <Characters>1741</Characters>
  <Application>Microsoft Office Word</Application>
  <DocSecurity>0</DocSecurity>
  <Lines>14</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 sistema Windows</dc:creator>
  <cp:lastModifiedBy>Uporabnik sistema Windows</cp:lastModifiedBy>
  <cp:revision>6</cp:revision>
  <dcterms:created xsi:type="dcterms:W3CDTF">2019-09-12T10:34:00Z</dcterms:created>
  <dcterms:modified xsi:type="dcterms:W3CDTF">2019-09-12T11:45:00Z</dcterms:modified>
</cp:coreProperties>
</file>