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0F" w:rsidRPr="00C82ABE" w:rsidRDefault="002C640F" w:rsidP="002C640F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0F" w:rsidRPr="00C82ABE" w:rsidRDefault="002C640F" w:rsidP="002C640F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2C640F" w:rsidRPr="00C82ABE" w:rsidRDefault="002C640F" w:rsidP="002C640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C640F" w:rsidRPr="00C72049" w:rsidRDefault="00D86312" w:rsidP="002C640F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134</w:t>
      </w:r>
      <w:bookmarkStart w:id="0" w:name="_GoBack"/>
      <w:bookmarkEnd w:id="0"/>
      <w:r w:rsidR="002C640F" w:rsidRPr="00C72049">
        <w:rPr>
          <w:rFonts w:ascii="Arial" w:hAnsi="Arial" w:cs="Arial"/>
          <w:b/>
        </w:rPr>
        <w:t xml:space="preserve"> – 2018</w:t>
      </w:r>
    </w:p>
    <w:p w:rsidR="002C640F" w:rsidRPr="00C72049" w:rsidRDefault="002C640F" w:rsidP="002C640F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</w:t>
      </w:r>
      <w:r w:rsidRPr="00C7204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C72049">
        <w:rPr>
          <w:rFonts w:ascii="Arial" w:hAnsi="Arial" w:cs="Arial"/>
          <w:b/>
        </w:rPr>
        <w:t xml:space="preserve"> 2018</w:t>
      </w:r>
    </w:p>
    <w:p w:rsidR="00382FB9" w:rsidRDefault="002C640F" w:rsidP="002C640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993300"/>
          <w:sz w:val="32"/>
          <w:szCs w:val="32"/>
        </w:rPr>
        <w:t>Poročilo s primeri dobrih praks za tesnejše povezovanje med strategijama za krožno in biogospodarstvo</w:t>
      </w:r>
    </w:p>
    <w:p w:rsidR="00B459D4" w:rsidRPr="002C640F" w:rsidRDefault="0072700D" w:rsidP="00382FB9">
      <w:pPr>
        <w:rPr>
          <w:rFonts w:ascii="Arial" w:hAnsi="Arial" w:cs="Arial"/>
          <w:b/>
          <w:i/>
        </w:rPr>
      </w:pPr>
      <w:r w:rsidRPr="002C640F">
        <w:rPr>
          <w:rFonts w:ascii="Arial" w:hAnsi="Arial" w:cs="Arial"/>
          <w:b/>
          <w:i/>
        </w:rPr>
        <w:t xml:space="preserve">Poročilo Krožno gospodarstvo in biogospodarstvo – partnerja  trajnostnosti, ki ga je objavila Evropska agencija za okolje, kaže, da imata obe politiki podobne cilje in področja ukrepanja, vključno z odpadno hrano, biomaso in biološkimi izdelki. Poročilo tudi kaže, da bi tesnejša povezava obeh </w:t>
      </w:r>
      <w:r w:rsidR="00FE32BC">
        <w:rPr>
          <w:rFonts w:ascii="Arial" w:hAnsi="Arial" w:cs="Arial"/>
          <w:b/>
          <w:i/>
        </w:rPr>
        <w:t>strategij</w:t>
      </w:r>
      <w:r w:rsidRPr="002C640F">
        <w:rPr>
          <w:rFonts w:ascii="Arial" w:hAnsi="Arial" w:cs="Arial"/>
          <w:b/>
          <w:i/>
        </w:rPr>
        <w:t xml:space="preserve"> zagotovila večje učinke, zlasti bi ju bilo treba tesneje povezati pri oblikovanju izdelkov in in</w:t>
      </w:r>
      <w:r w:rsidR="00382FB9" w:rsidRPr="002C640F">
        <w:rPr>
          <w:rFonts w:ascii="Arial" w:hAnsi="Arial" w:cs="Arial"/>
          <w:b/>
          <w:i/>
        </w:rPr>
        <w:t>f</w:t>
      </w:r>
      <w:r w:rsidRPr="002C640F">
        <w:rPr>
          <w:rFonts w:ascii="Arial" w:hAnsi="Arial" w:cs="Arial"/>
          <w:b/>
          <w:i/>
        </w:rPr>
        <w:t xml:space="preserve">rastrukture, pa nasploh v vrednostni verigi. </w:t>
      </w:r>
      <w:r w:rsidR="002C640F" w:rsidRPr="002C640F">
        <w:rPr>
          <w:rFonts w:ascii="Arial" w:hAnsi="Arial" w:cs="Arial"/>
          <w:b/>
          <w:i/>
        </w:rPr>
        <w:t xml:space="preserve">V poročilu je navedenih tudi nekaj primerov dobrih praks. </w:t>
      </w:r>
    </w:p>
    <w:p w:rsidR="007C09E6" w:rsidRPr="00382FB9" w:rsidRDefault="0072700D" w:rsidP="00382FB9">
      <w:p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 xml:space="preserve">Obetavne inovacije in strategije </w:t>
      </w:r>
      <w:r w:rsidR="007C09E6" w:rsidRPr="00382FB9">
        <w:rPr>
          <w:rFonts w:ascii="Arial" w:hAnsi="Arial" w:cs="Arial"/>
          <w:sz w:val="20"/>
          <w:szCs w:val="20"/>
        </w:rPr>
        <w:t xml:space="preserve">za krožno biomaso vključujejo biološke rafinerije, 3D tiskanje z bioplastiko, poljščine za različno rabo, boljšo izrabo ostankov in odpadkov hrane, pa tudi ravnanje z biološkimi odpadki. </w:t>
      </w:r>
    </w:p>
    <w:p w:rsidR="0072700D" w:rsidRPr="00382FB9" w:rsidRDefault="007C09E6" w:rsidP="00382FB9">
      <w:p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>Potrošniki prav tako lahko pomagajo, da bo biogospodarstvo postalo bolj trajnostno. Tehnološke inovacije, ki zajemajo oblikovanje izdelkov in infrastrukture, bi morali vgraditi v širši sistem inovacij, ki vključujejo tudi ravnanje potrošnikov, uporabo izdelkov in ravnanje z odpadki, piše v poročilu.</w:t>
      </w: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2C640F" w:rsidRDefault="002C640F" w:rsidP="00382FB9">
      <w:pPr>
        <w:rPr>
          <w:rFonts w:ascii="Arial" w:hAnsi="Arial" w:cs="Arial"/>
          <w:b/>
          <w:sz w:val="20"/>
          <w:szCs w:val="20"/>
        </w:rPr>
      </w:pPr>
    </w:p>
    <w:p w:rsidR="007C09E6" w:rsidRPr="00382FB9" w:rsidRDefault="007C09E6" w:rsidP="00382FB9">
      <w:pPr>
        <w:rPr>
          <w:rFonts w:ascii="Arial" w:hAnsi="Arial" w:cs="Arial"/>
          <w:b/>
          <w:sz w:val="20"/>
          <w:szCs w:val="20"/>
        </w:rPr>
      </w:pPr>
      <w:r w:rsidRPr="00382FB9">
        <w:rPr>
          <w:rFonts w:ascii="Arial" w:hAnsi="Arial" w:cs="Arial"/>
          <w:b/>
          <w:sz w:val="20"/>
          <w:szCs w:val="20"/>
        </w:rPr>
        <w:lastRenderedPageBreak/>
        <w:t xml:space="preserve">Slika 1: </w:t>
      </w:r>
      <w:r w:rsidR="00BD521C" w:rsidRPr="00382FB9">
        <w:rPr>
          <w:rFonts w:ascii="Arial" w:hAnsi="Arial" w:cs="Arial"/>
          <w:b/>
          <w:sz w:val="20"/>
          <w:szCs w:val="20"/>
        </w:rPr>
        <w:t>Poti in dobre prakse do biogospodarstva</w:t>
      </w:r>
    </w:p>
    <w:p w:rsidR="00BD521C" w:rsidRPr="00382FB9" w:rsidRDefault="00BD521C" w:rsidP="00382FB9">
      <w:p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086350" cy="5707901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70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1C" w:rsidRPr="00382FB9" w:rsidRDefault="00BD521C" w:rsidP="00382FB9">
      <w:p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 xml:space="preserve">Vir: Poročilo </w:t>
      </w:r>
    </w:p>
    <w:p w:rsidR="00BD521C" w:rsidRPr="00382FB9" w:rsidRDefault="00BD521C" w:rsidP="00382FB9">
      <w:pPr>
        <w:rPr>
          <w:rFonts w:ascii="Arial" w:hAnsi="Arial" w:cs="Arial"/>
          <w:b/>
          <w:sz w:val="20"/>
          <w:szCs w:val="20"/>
        </w:rPr>
      </w:pPr>
      <w:r w:rsidRPr="00382FB9">
        <w:rPr>
          <w:rFonts w:ascii="Arial" w:hAnsi="Arial" w:cs="Arial"/>
          <w:b/>
          <w:sz w:val="20"/>
          <w:szCs w:val="20"/>
        </w:rPr>
        <w:t>Koristne informacije:</w:t>
      </w:r>
    </w:p>
    <w:p w:rsidR="00BD521C" w:rsidRPr="00382FB9" w:rsidRDefault="00BD521C" w:rsidP="00382F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>Poročilo:</w:t>
      </w:r>
    </w:p>
    <w:p w:rsidR="00BD521C" w:rsidRPr="00382FB9" w:rsidRDefault="00D86312" w:rsidP="00382F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BD521C" w:rsidRPr="00382FB9">
          <w:rPr>
            <w:rStyle w:val="Hyperlink"/>
            <w:rFonts w:ascii="Arial" w:hAnsi="Arial" w:cs="Arial"/>
            <w:sz w:val="20"/>
            <w:szCs w:val="20"/>
          </w:rPr>
          <w:t>https://www.eea.europa.eu/publications/circular-economy-and-bioeconomy</w:t>
        </w:r>
      </w:hyperlink>
    </w:p>
    <w:p w:rsidR="00BD521C" w:rsidRPr="00382FB9" w:rsidRDefault="00BD521C" w:rsidP="00382F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>Spletna stran Evropske komisije z informacijami o biogospodarstvu:</w:t>
      </w:r>
    </w:p>
    <w:p w:rsidR="00BD521C" w:rsidRPr="00382FB9" w:rsidRDefault="00D86312" w:rsidP="00382F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BD521C" w:rsidRPr="00382FB9">
          <w:rPr>
            <w:rStyle w:val="Hyperlink"/>
            <w:rFonts w:ascii="Arial" w:hAnsi="Arial" w:cs="Arial"/>
            <w:sz w:val="20"/>
            <w:szCs w:val="20"/>
          </w:rPr>
          <w:t>http://ec.europa.eu/programmes/horizon2020/en/h2020-section/bioeconomy</w:t>
        </w:r>
      </w:hyperlink>
    </w:p>
    <w:p w:rsidR="00BD521C" w:rsidRPr="00382FB9" w:rsidRDefault="00BD521C" w:rsidP="00382F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>Spletna stran Evropske komisije z informacijami o krožnem gospodarstvu:</w:t>
      </w:r>
    </w:p>
    <w:p w:rsidR="00BD521C" w:rsidRPr="00382FB9" w:rsidRDefault="00D86312" w:rsidP="00382F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BD521C" w:rsidRPr="00382FB9">
          <w:rPr>
            <w:rStyle w:val="Hyperlink"/>
            <w:rFonts w:ascii="Arial" w:hAnsi="Arial" w:cs="Arial"/>
            <w:sz w:val="20"/>
            <w:szCs w:val="20"/>
          </w:rPr>
          <w:t>http://ec.europa.eu/environment/circular-economy/index_en.htm</w:t>
        </w:r>
      </w:hyperlink>
    </w:p>
    <w:p w:rsidR="00BD521C" w:rsidRPr="00382FB9" w:rsidRDefault="00BD521C" w:rsidP="00382FB9">
      <w:p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>Pripravila:</w:t>
      </w:r>
    </w:p>
    <w:p w:rsidR="00BD521C" w:rsidRPr="00382FB9" w:rsidRDefault="00BD521C" w:rsidP="00382FB9">
      <w:pPr>
        <w:rPr>
          <w:rFonts w:ascii="Arial" w:hAnsi="Arial" w:cs="Arial"/>
          <w:sz w:val="20"/>
          <w:szCs w:val="20"/>
        </w:rPr>
      </w:pPr>
      <w:r w:rsidRPr="00382FB9">
        <w:rPr>
          <w:rFonts w:ascii="Arial" w:hAnsi="Arial" w:cs="Arial"/>
          <w:sz w:val="20"/>
          <w:szCs w:val="20"/>
        </w:rPr>
        <w:t>Darja Kocbek</w:t>
      </w:r>
    </w:p>
    <w:sectPr w:rsidR="00BD521C" w:rsidRPr="00382FB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2B1"/>
    <w:multiLevelType w:val="hybridMultilevel"/>
    <w:tmpl w:val="BD7CC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700D"/>
    <w:rsid w:val="002C640F"/>
    <w:rsid w:val="00382FB9"/>
    <w:rsid w:val="0072700D"/>
    <w:rsid w:val="007C09E6"/>
    <w:rsid w:val="00806A00"/>
    <w:rsid w:val="00B06B2F"/>
    <w:rsid w:val="00B459D4"/>
    <w:rsid w:val="00BD521C"/>
    <w:rsid w:val="00D86312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2C640F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2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2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F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640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2C640F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.europa.eu/publications/circular-economy-and-bioeconom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environment/circular-economy/index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horizon2020/en/h2020-section/bioeconom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2018-08-27T12:39:00Z</dcterms:created>
  <dcterms:modified xsi:type="dcterms:W3CDTF">2018-08-30T14:00:00Z</dcterms:modified>
</cp:coreProperties>
</file>