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6C" w:rsidRPr="008B0C84" w:rsidRDefault="0057556C" w:rsidP="0057556C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56C" w:rsidRPr="008B0C84" w:rsidRDefault="0057556C" w:rsidP="0057556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57556C" w:rsidRPr="008B0C84" w:rsidRDefault="0057556C" w:rsidP="0057556C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57556C" w:rsidRPr="000003C1" w:rsidRDefault="0057556C" w:rsidP="0057556C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57556C" w:rsidRPr="000003C1" w:rsidRDefault="0057556C" w:rsidP="0057556C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57556C" w:rsidRPr="000003C1" w:rsidRDefault="0057556C" w:rsidP="0057556C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131 </w:t>
      </w:r>
      <w:r w:rsidRPr="000003C1">
        <w:rPr>
          <w:b/>
        </w:rPr>
        <w:t>– 2019</w:t>
      </w:r>
    </w:p>
    <w:p w:rsidR="0057556C" w:rsidRPr="000003C1" w:rsidRDefault="0057556C" w:rsidP="0057556C">
      <w:pPr>
        <w:tabs>
          <w:tab w:val="left" w:pos="3120"/>
        </w:tabs>
        <w:spacing w:after="0"/>
        <w:jc w:val="center"/>
        <w:rPr>
          <w:b/>
        </w:rPr>
      </w:pPr>
    </w:p>
    <w:p w:rsidR="0057556C" w:rsidRPr="000003C1" w:rsidRDefault="0057556C" w:rsidP="0057556C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16. september</w:t>
      </w:r>
      <w:r w:rsidRPr="000003C1">
        <w:rPr>
          <w:b/>
        </w:rPr>
        <w:t xml:space="preserve"> 2019</w:t>
      </w:r>
    </w:p>
    <w:p w:rsidR="0057556C" w:rsidRPr="000003C1" w:rsidRDefault="0057556C" w:rsidP="0057556C">
      <w:pPr>
        <w:tabs>
          <w:tab w:val="left" w:pos="3120"/>
        </w:tabs>
        <w:spacing w:after="0"/>
        <w:jc w:val="center"/>
        <w:rPr>
          <w:b/>
        </w:rPr>
      </w:pPr>
    </w:p>
    <w:p w:rsidR="0057556C" w:rsidRDefault="0057556C" w:rsidP="0057556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zbira mnenja o 12 raziskovalnih in inovacijskih partnerstvih, predlaganih v programu Obzorje Evropa</w:t>
      </w:r>
    </w:p>
    <w:p w:rsidR="00BB7C7B" w:rsidRPr="0057556C" w:rsidRDefault="00BB7C7B" w:rsidP="0057556C">
      <w:pPr>
        <w:jc w:val="both"/>
        <w:rPr>
          <w:rFonts w:ascii="Arial" w:hAnsi="Arial" w:cs="Arial"/>
          <w:b/>
          <w:i/>
        </w:rPr>
      </w:pPr>
      <w:r w:rsidRPr="0057556C">
        <w:rPr>
          <w:rFonts w:ascii="Arial" w:hAnsi="Arial" w:cs="Arial"/>
          <w:b/>
          <w:i/>
        </w:rPr>
        <w:t xml:space="preserve">Evropska komisija prek ankete do 6. novembra zbira mnenja in predloge kako lahko EU v prihodnje najbolje podpre raziskovalna in inovacijska partnerstva z industrijo, državami članicami in drugimi deležniki. V novem programu za raziskave in inovacije za obdobje od leta 2021 do 2027 Obzorje Evropa je predlaganih 12 partnerstev.  </w:t>
      </w:r>
      <w:r w:rsidR="0076013A" w:rsidRPr="0057556C">
        <w:rPr>
          <w:rFonts w:ascii="Arial" w:hAnsi="Arial" w:cs="Arial"/>
          <w:b/>
          <w:i/>
        </w:rPr>
        <w:t>Ta partnerstva bodo po oceni Evropske komisije imela ključno vlogo pri iskanju rešitev za reševanje globalnih izzivov.</w:t>
      </w:r>
    </w:p>
    <w:p w:rsidR="00E413AE" w:rsidRPr="0057556C" w:rsidRDefault="003B394B" w:rsidP="0057556C">
      <w:p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Predlagana partnerstva so: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Raziskovalno partnerstvo EU-Afrika na področju zdravja za boj proti nalezljivim boleznim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Pobuda za inovativno zdravje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Ključne digitalne tehnologije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Pametna omrežja in storitve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Evropsko meroslovje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Preoblikovanje evropskega železniškega sistema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Celostno upravljanje letalskega prometa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Čisto letalstvo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Krožna biološka Evropa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Čisti vodik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Varen in avtomatiziran cestni promet</w:t>
      </w:r>
    </w:p>
    <w:p w:rsidR="003B394B" w:rsidRPr="0057556C" w:rsidRDefault="003B394B" w:rsidP="005755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Inovativna mala in srednja podjetja</w:t>
      </w:r>
    </w:p>
    <w:p w:rsidR="00BB7C7B" w:rsidRPr="0057556C" w:rsidRDefault="00BB7C7B" w:rsidP="0057556C">
      <w:p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 xml:space="preserve">O predlaganih partnerstvih je 26. septembra predvidena razprava na posebni konferenci </w:t>
      </w:r>
      <w:r w:rsidR="0076013A" w:rsidRPr="0057556C">
        <w:rPr>
          <w:rFonts w:ascii="Arial" w:hAnsi="Arial" w:cs="Arial"/>
          <w:sz w:val="20"/>
          <w:szCs w:val="20"/>
        </w:rPr>
        <w:t>v okviru E</w:t>
      </w:r>
      <w:r w:rsidRPr="0057556C">
        <w:rPr>
          <w:rFonts w:ascii="Arial" w:hAnsi="Arial" w:cs="Arial"/>
          <w:sz w:val="20"/>
          <w:szCs w:val="20"/>
        </w:rPr>
        <w:t xml:space="preserve">vropskih dni </w:t>
      </w:r>
      <w:r w:rsidR="0076013A" w:rsidRPr="0057556C">
        <w:rPr>
          <w:rStyle w:val="st"/>
          <w:rFonts w:ascii="Arial" w:hAnsi="Arial" w:cs="Arial"/>
          <w:sz w:val="20"/>
          <w:szCs w:val="20"/>
        </w:rPr>
        <w:t xml:space="preserve">raziskav in inovacij </w:t>
      </w:r>
      <w:r w:rsidR="0076013A" w:rsidRPr="0057556C">
        <w:rPr>
          <w:rStyle w:val="st"/>
          <w:rFonts w:ascii="Arial" w:hAnsi="Arial" w:cs="Arial"/>
          <w:i/>
          <w:sz w:val="20"/>
          <w:szCs w:val="20"/>
        </w:rPr>
        <w:t>(</w:t>
      </w:r>
      <w:proofErr w:type="spellStart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European</w:t>
      </w:r>
      <w:proofErr w:type="spellEnd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Research</w:t>
      </w:r>
      <w:proofErr w:type="spellEnd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and</w:t>
      </w:r>
      <w:proofErr w:type="spellEnd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Innovation</w:t>
      </w:r>
      <w:proofErr w:type="spellEnd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Days</w:t>
      </w:r>
      <w:proofErr w:type="spellEnd"/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),</w:t>
      </w:r>
      <w:r w:rsidR="0076013A" w:rsidRPr="0057556C">
        <w:rPr>
          <w:rStyle w:val="Poudarek"/>
          <w:rFonts w:ascii="Arial" w:hAnsi="Arial" w:cs="Arial"/>
          <w:sz w:val="20"/>
          <w:szCs w:val="20"/>
        </w:rPr>
        <w:t xml:space="preserve"> </w:t>
      </w:r>
      <w:r w:rsidR="0076013A" w:rsidRPr="0057556C">
        <w:rPr>
          <w:rStyle w:val="Poudarek"/>
          <w:rFonts w:ascii="Arial" w:hAnsi="Arial" w:cs="Arial"/>
          <w:i w:val="0"/>
          <w:sz w:val="20"/>
          <w:szCs w:val="20"/>
        </w:rPr>
        <w:t>ki bodo med 24. in 26. septembrom v Bruslju</w:t>
      </w:r>
      <w:r w:rsidRPr="0057556C">
        <w:rPr>
          <w:rFonts w:ascii="Arial" w:hAnsi="Arial" w:cs="Arial"/>
          <w:i/>
          <w:sz w:val="20"/>
          <w:szCs w:val="20"/>
        </w:rPr>
        <w:t>.</w:t>
      </w:r>
      <w:r w:rsidRPr="0057556C">
        <w:rPr>
          <w:rFonts w:ascii="Arial" w:hAnsi="Arial" w:cs="Arial"/>
          <w:sz w:val="20"/>
          <w:szCs w:val="20"/>
        </w:rPr>
        <w:t xml:space="preserve"> Med govorniki </w:t>
      </w:r>
      <w:r w:rsidR="0076013A" w:rsidRPr="0057556C">
        <w:rPr>
          <w:rFonts w:ascii="Arial" w:hAnsi="Arial" w:cs="Arial"/>
          <w:sz w:val="20"/>
          <w:szCs w:val="20"/>
        </w:rPr>
        <w:t xml:space="preserve">na konferenci </w:t>
      </w:r>
      <w:r w:rsidRPr="0057556C">
        <w:rPr>
          <w:rFonts w:ascii="Arial" w:hAnsi="Arial" w:cs="Arial"/>
          <w:sz w:val="20"/>
          <w:szCs w:val="20"/>
        </w:rPr>
        <w:t>je predviden tudi dr. Tomaž Boh, generalni direktor</w:t>
      </w:r>
      <w:r w:rsidR="0076013A" w:rsidRPr="0057556C">
        <w:rPr>
          <w:rFonts w:ascii="Arial" w:hAnsi="Arial" w:cs="Arial"/>
          <w:sz w:val="20"/>
          <w:szCs w:val="20"/>
        </w:rPr>
        <w:t xml:space="preserve"> </w:t>
      </w:r>
      <w:r w:rsidRPr="0057556C">
        <w:rPr>
          <w:rFonts w:ascii="Arial" w:hAnsi="Arial" w:cs="Arial"/>
          <w:sz w:val="20"/>
          <w:szCs w:val="20"/>
        </w:rPr>
        <w:t xml:space="preserve">direktorata za znanost </w:t>
      </w:r>
      <w:r w:rsidR="0076013A" w:rsidRPr="0057556C">
        <w:rPr>
          <w:rFonts w:ascii="Arial" w:hAnsi="Arial" w:cs="Arial"/>
          <w:sz w:val="20"/>
          <w:szCs w:val="20"/>
        </w:rPr>
        <w:t xml:space="preserve">na ministrstvu za izobraževanje, znanost in šport. Člani lahko dobijo na SBRA podrobnejše informacije o predlaganih partnerstvih, nasploh o programu Obzorje Evropa, pa tudi o Evropskih dnevih </w:t>
      </w:r>
      <w:r w:rsidR="0076013A" w:rsidRPr="0057556C">
        <w:rPr>
          <w:rStyle w:val="st"/>
          <w:rFonts w:ascii="Arial" w:hAnsi="Arial" w:cs="Arial"/>
          <w:sz w:val="20"/>
          <w:szCs w:val="20"/>
        </w:rPr>
        <w:t>raziskav in inovacij</w:t>
      </w:r>
      <w:r w:rsidR="0076013A" w:rsidRPr="0057556C">
        <w:rPr>
          <w:rFonts w:ascii="Arial" w:hAnsi="Arial" w:cs="Arial"/>
          <w:sz w:val="20"/>
          <w:szCs w:val="20"/>
        </w:rPr>
        <w:t xml:space="preserve"> vključno s konferenco o partnerstvih.</w:t>
      </w:r>
    </w:p>
    <w:p w:rsidR="0076013A" w:rsidRPr="0057556C" w:rsidRDefault="003B394B" w:rsidP="0057556C">
      <w:pPr>
        <w:jc w:val="both"/>
        <w:rPr>
          <w:rFonts w:ascii="Arial" w:hAnsi="Arial" w:cs="Arial"/>
          <w:b/>
          <w:sz w:val="20"/>
          <w:szCs w:val="20"/>
        </w:rPr>
      </w:pPr>
      <w:r w:rsidRPr="0057556C">
        <w:rPr>
          <w:rFonts w:ascii="Arial" w:hAnsi="Arial" w:cs="Arial"/>
          <w:b/>
          <w:sz w:val="20"/>
          <w:szCs w:val="20"/>
        </w:rPr>
        <w:t>Koristne informacije:</w:t>
      </w:r>
    </w:p>
    <w:p w:rsidR="003B394B" w:rsidRPr="0057556C" w:rsidRDefault="003B394B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Anketa:</w:t>
      </w:r>
    </w:p>
    <w:p w:rsidR="003B394B" w:rsidRPr="0057556C" w:rsidRDefault="00142D36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3B394B" w:rsidRPr="0057556C">
          <w:rPr>
            <w:rStyle w:val="Hiperpovezava"/>
            <w:rFonts w:ascii="Arial" w:hAnsi="Arial" w:cs="Arial"/>
            <w:sz w:val="20"/>
            <w:szCs w:val="20"/>
          </w:rPr>
          <w:t>https://ec.europa.eu/info/law/better-regulation/initiatives_en</w:t>
        </w:r>
      </w:hyperlink>
    </w:p>
    <w:p w:rsidR="003B394B" w:rsidRPr="0057556C" w:rsidRDefault="003B394B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Spletna stran z informacijami o konferenci o partnerstvih:</w:t>
      </w:r>
    </w:p>
    <w:p w:rsidR="003B394B" w:rsidRPr="0057556C" w:rsidRDefault="00142D36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3B394B" w:rsidRPr="0057556C">
          <w:rPr>
            <w:rStyle w:val="Hiperpovezava"/>
            <w:rFonts w:ascii="Arial" w:hAnsi="Arial" w:cs="Arial"/>
            <w:sz w:val="20"/>
            <w:szCs w:val="20"/>
          </w:rPr>
          <w:t>https://ec.europa.eu/digital-single-market/events/cf/european-research-and-innovation-days/item-display.cfm?id=23554</w:t>
        </w:r>
      </w:hyperlink>
    </w:p>
    <w:p w:rsidR="00DA64BC" w:rsidRPr="0057556C" w:rsidRDefault="003B394B" w:rsidP="0057556C">
      <w:pPr>
        <w:pStyle w:val="Odstavekseznama"/>
        <w:numPr>
          <w:ilvl w:val="0"/>
          <w:numId w:val="2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 xml:space="preserve">Spletna stran z informacijami o Evropskih </w:t>
      </w:r>
      <w:proofErr w:type="spellStart"/>
      <w:r w:rsidRPr="0057556C">
        <w:rPr>
          <w:rFonts w:ascii="Arial" w:hAnsi="Arial" w:cs="Arial"/>
          <w:sz w:val="20"/>
          <w:szCs w:val="20"/>
        </w:rPr>
        <w:t>dnehi</w:t>
      </w:r>
      <w:proofErr w:type="spellEnd"/>
      <w:r w:rsidRPr="0057556C">
        <w:rPr>
          <w:rFonts w:ascii="Arial" w:hAnsi="Arial" w:cs="Arial"/>
          <w:sz w:val="20"/>
          <w:szCs w:val="20"/>
        </w:rPr>
        <w:t xml:space="preserve"> </w:t>
      </w:r>
      <w:r w:rsidRPr="0057556C">
        <w:rPr>
          <w:rStyle w:val="st"/>
          <w:rFonts w:ascii="Arial" w:hAnsi="Arial" w:cs="Arial"/>
          <w:sz w:val="20"/>
          <w:szCs w:val="20"/>
        </w:rPr>
        <w:t>raziskav in inovacij:</w:t>
      </w:r>
    </w:p>
    <w:p w:rsidR="003B394B" w:rsidRPr="0057556C" w:rsidRDefault="00142D36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3B394B" w:rsidRPr="0057556C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https://ec.europa.eu/info/research-and-innovation/events/upcoming-events/european-research-and-innovation-days_en</w:t>
        </w:r>
      </w:hyperlink>
    </w:p>
    <w:p w:rsidR="003B394B" w:rsidRPr="0057556C" w:rsidRDefault="003B394B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Spletna stran z informacijami o programu Obzorje Evropa:</w:t>
      </w:r>
    </w:p>
    <w:p w:rsidR="003B394B" w:rsidRPr="0057556C" w:rsidRDefault="00142D36" w:rsidP="0057556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3B394B" w:rsidRPr="0057556C">
          <w:rPr>
            <w:rStyle w:val="Hiperpovezava"/>
            <w:rFonts w:ascii="Arial" w:hAnsi="Arial" w:cs="Arial"/>
            <w:sz w:val="20"/>
            <w:szCs w:val="20"/>
          </w:rPr>
          <w:t>https://ec.europa.eu/info/horizon-europe-next-research-and-innovation-framework-programme_en</w:t>
        </w:r>
      </w:hyperlink>
    </w:p>
    <w:p w:rsidR="003B394B" w:rsidRPr="0057556C" w:rsidRDefault="003B394B" w:rsidP="005755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Pripravila:</w:t>
      </w:r>
    </w:p>
    <w:p w:rsidR="003B394B" w:rsidRPr="0057556C" w:rsidRDefault="003B394B" w:rsidP="005755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57556C">
        <w:rPr>
          <w:rFonts w:ascii="Arial" w:hAnsi="Arial" w:cs="Arial"/>
          <w:sz w:val="20"/>
          <w:szCs w:val="20"/>
        </w:rPr>
        <w:t>Darja Kocbek</w:t>
      </w:r>
    </w:p>
    <w:sectPr w:rsidR="003B394B" w:rsidRPr="0057556C" w:rsidSect="00DA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62810"/>
    <w:multiLevelType w:val="hybridMultilevel"/>
    <w:tmpl w:val="EF82EE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804FD"/>
    <w:multiLevelType w:val="hybridMultilevel"/>
    <w:tmpl w:val="4106D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C7B"/>
    <w:rsid w:val="00142D36"/>
    <w:rsid w:val="003B394B"/>
    <w:rsid w:val="0057556C"/>
    <w:rsid w:val="0076013A"/>
    <w:rsid w:val="00BB7C7B"/>
    <w:rsid w:val="00DA64BC"/>
    <w:rsid w:val="00E4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64B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75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BB7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BB7C7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B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oles">
    <w:name w:val="roles"/>
    <w:basedOn w:val="Privzetapisavaodstavka"/>
    <w:rsid w:val="00BB7C7B"/>
  </w:style>
  <w:style w:type="character" w:customStyle="1" w:styleId="st">
    <w:name w:val="st"/>
    <w:basedOn w:val="Privzetapisavaodstavka"/>
    <w:rsid w:val="0076013A"/>
  </w:style>
  <w:style w:type="character" w:styleId="Poudarek">
    <w:name w:val="Emphasis"/>
    <w:basedOn w:val="Privzetapisavaodstavka"/>
    <w:uiPriority w:val="20"/>
    <w:qFormat/>
    <w:rsid w:val="0076013A"/>
    <w:rPr>
      <w:i/>
      <w:iCs/>
    </w:rPr>
  </w:style>
  <w:style w:type="paragraph" w:styleId="Odstavekseznama">
    <w:name w:val="List Paragraph"/>
    <w:basedOn w:val="Navaden"/>
    <w:uiPriority w:val="34"/>
    <w:qFormat/>
    <w:rsid w:val="003B39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394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75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events/upcoming-events/european-research-and-innovation-day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vents/cf/european-research-and-innovation-days/item-display.cfm?id=23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law/better-regulation/initiatives_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horizon-europe-next-research-and-innovation-framework-programme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2019-09-11T19:07:00Z</dcterms:created>
  <dcterms:modified xsi:type="dcterms:W3CDTF">2019-09-11T20:00:00Z</dcterms:modified>
</cp:coreProperties>
</file>