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CF1" w:rsidRPr="00D5331F" w:rsidRDefault="00550CF1" w:rsidP="00550CF1">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50CF1" w:rsidRPr="00C446CC" w:rsidRDefault="00550CF1" w:rsidP="00550CF1">
      <w:pPr>
        <w:pStyle w:val="Naslov2"/>
        <w:tabs>
          <w:tab w:val="left" w:pos="3120"/>
        </w:tabs>
        <w:jc w:val="center"/>
        <w:rPr>
          <w:b/>
          <w:bCs/>
          <w:i/>
          <w:iCs/>
          <w:sz w:val="22"/>
        </w:rPr>
      </w:pPr>
      <w:r w:rsidRPr="00C446CC">
        <w:rPr>
          <w:sz w:val="22"/>
        </w:rPr>
        <w:t>Slovensko gospodarsko in raziskovalno združenje, Bruselj</w:t>
      </w:r>
    </w:p>
    <w:p w:rsidR="00550CF1" w:rsidRPr="00C446CC" w:rsidRDefault="00550CF1" w:rsidP="00550CF1">
      <w:pPr>
        <w:pBdr>
          <w:bottom w:val="single" w:sz="6" w:space="1" w:color="auto"/>
        </w:pBdr>
        <w:tabs>
          <w:tab w:val="left" w:pos="3120"/>
        </w:tabs>
        <w:jc w:val="center"/>
        <w:rPr>
          <w:sz w:val="16"/>
          <w:szCs w:val="16"/>
        </w:rPr>
      </w:pPr>
    </w:p>
    <w:p w:rsidR="00550CF1" w:rsidRPr="00C446CC" w:rsidRDefault="00550CF1" w:rsidP="00550CF1">
      <w:pPr>
        <w:tabs>
          <w:tab w:val="left" w:pos="3120"/>
        </w:tabs>
        <w:rPr>
          <w:b/>
        </w:rPr>
      </w:pPr>
      <w:r w:rsidRPr="00C446CC">
        <w:rPr>
          <w:b/>
        </w:rPr>
        <w:tab/>
      </w:r>
      <w:r>
        <w:rPr>
          <w:b/>
        </w:rPr>
        <w:t>Občasna informacija članom 12 – 2019</w:t>
      </w:r>
    </w:p>
    <w:p w:rsidR="00550CF1" w:rsidRPr="00AC5779" w:rsidRDefault="00550CF1" w:rsidP="00550CF1">
      <w:pPr>
        <w:tabs>
          <w:tab w:val="left" w:pos="3120"/>
        </w:tabs>
        <w:jc w:val="center"/>
        <w:rPr>
          <w:b/>
        </w:rPr>
      </w:pPr>
      <w:r>
        <w:rPr>
          <w:b/>
        </w:rPr>
        <w:t>21</w:t>
      </w:r>
      <w:r w:rsidRPr="00C446CC">
        <w:rPr>
          <w:b/>
        </w:rPr>
        <w:t xml:space="preserve">. </w:t>
      </w:r>
      <w:r>
        <w:rPr>
          <w:b/>
        </w:rPr>
        <w:t>januar 2019</w:t>
      </w:r>
    </w:p>
    <w:p w:rsidR="00550CF1" w:rsidRDefault="00550CF1" w:rsidP="00550CF1">
      <w:pPr>
        <w:jc w:val="center"/>
        <w:rPr>
          <w:rFonts w:ascii="Arial" w:hAnsi="Arial" w:cs="Arial"/>
          <w:b/>
          <w:i/>
        </w:rPr>
      </w:pPr>
      <w:r>
        <w:rPr>
          <w:b/>
          <w:color w:val="993300"/>
          <w:sz w:val="32"/>
          <w:szCs w:val="32"/>
        </w:rPr>
        <w:t>Članice EU so se zavezale, da bodo prekinile medsebojne dvostranske naložbene pogodbe v EU</w:t>
      </w:r>
    </w:p>
    <w:p w:rsidR="00B459D4" w:rsidRPr="00A43A70" w:rsidRDefault="007C3C9E" w:rsidP="00A43A70">
      <w:pPr>
        <w:rPr>
          <w:rFonts w:ascii="Arial" w:hAnsi="Arial" w:cs="Arial"/>
          <w:b/>
          <w:i/>
        </w:rPr>
      </w:pPr>
      <w:r w:rsidRPr="00A43A70">
        <w:rPr>
          <w:rFonts w:ascii="Arial" w:hAnsi="Arial" w:cs="Arial"/>
          <w:b/>
          <w:i/>
        </w:rPr>
        <w:t xml:space="preserve">Države članice EU so se </w:t>
      </w:r>
      <w:r w:rsidR="009B65A3" w:rsidRPr="00A43A70">
        <w:rPr>
          <w:rFonts w:ascii="Arial" w:hAnsi="Arial" w:cs="Arial"/>
          <w:b/>
          <w:i/>
        </w:rPr>
        <w:t xml:space="preserve">na podlagi lanske sodbe sodišča EU v zadevi </w:t>
      </w:r>
      <w:proofErr w:type="spellStart"/>
      <w:r w:rsidR="009B65A3" w:rsidRPr="00A43A70">
        <w:rPr>
          <w:rFonts w:ascii="Arial" w:hAnsi="Arial" w:cs="Arial"/>
          <w:b/>
          <w:i/>
        </w:rPr>
        <w:t>Achmea</w:t>
      </w:r>
      <w:proofErr w:type="spellEnd"/>
      <w:r w:rsidR="009B65A3" w:rsidRPr="00A43A70">
        <w:rPr>
          <w:rFonts w:ascii="Arial" w:hAnsi="Arial" w:cs="Arial"/>
          <w:b/>
          <w:i/>
        </w:rPr>
        <w:t xml:space="preserve"> </w:t>
      </w:r>
      <w:r w:rsidRPr="00A43A70">
        <w:rPr>
          <w:rFonts w:ascii="Arial" w:hAnsi="Arial" w:cs="Arial"/>
          <w:b/>
          <w:i/>
        </w:rPr>
        <w:t xml:space="preserve">zavezale, da bodo prekinile vse medsebojne dvostranske naložbene pogodbe v EU. </w:t>
      </w:r>
      <w:r w:rsidR="009B65A3" w:rsidRPr="00A43A70">
        <w:rPr>
          <w:rFonts w:ascii="Arial" w:hAnsi="Arial" w:cs="Arial"/>
          <w:b/>
          <w:i/>
        </w:rPr>
        <w:t xml:space="preserve">V zadevi </w:t>
      </w:r>
      <w:proofErr w:type="spellStart"/>
      <w:r w:rsidR="009B65A3" w:rsidRPr="00A43A70">
        <w:rPr>
          <w:rFonts w:ascii="Arial" w:hAnsi="Arial" w:cs="Arial"/>
          <w:b/>
          <w:i/>
        </w:rPr>
        <w:t>Achmea</w:t>
      </w:r>
      <w:proofErr w:type="spellEnd"/>
      <w:r w:rsidR="009B65A3" w:rsidRPr="00A43A70">
        <w:rPr>
          <w:rFonts w:ascii="Arial" w:hAnsi="Arial" w:cs="Arial"/>
          <w:b/>
          <w:i/>
        </w:rPr>
        <w:t xml:space="preserve"> je Sodišče EU presojalo o</w:t>
      </w:r>
      <w:r w:rsidRPr="00A43A70">
        <w:rPr>
          <w:rFonts w:ascii="Arial" w:hAnsi="Arial" w:cs="Arial"/>
          <w:b/>
          <w:i/>
        </w:rPr>
        <w:t xml:space="preserve"> investicijsk</w:t>
      </w:r>
      <w:r w:rsidR="009B65A3" w:rsidRPr="00A43A70">
        <w:rPr>
          <w:rFonts w:ascii="Arial" w:hAnsi="Arial" w:cs="Arial"/>
          <w:b/>
          <w:i/>
        </w:rPr>
        <w:t>em</w:t>
      </w:r>
      <w:r w:rsidRPr="00A43A70">
        <w:rPr>
          <w:rFonts w:ascii="Arial" w:hAnsi="Arial" w:cs="Arial"/>
          <w:b/>
          <w:i/>
        </w:rPr>
        <w:t xml:space="preserve"> sporazum</w:t>
      </w:r>
      <w:r w:rsidR="009B65A3" w:rsidRPr="00A43A70">
        <w:rPr>
          <w:rFonts w:ascii="Arial" w:hAnsi="Arial" w:cs="Arial"/>
          <w:b/>
          <w:i/>
        </w:rPr>
        <w:t>u</w:t>
      </w:r>
      <w:r w:rsidRPr="00A43A70">
        <w:rPr>
          <w:rFonts w:ascii="Arial" w:hAnsi="Arial" w:cs="Arial"/>
          <w:b/>
          <w:i/>
        </w:rPr>
        <w:t xml:space="preserve"> med Nizozemsko in Slovaško</w:t>
      </w:r>
      <w:r w:rsidR="009B65A3" w:rsidRPr="00A43A70">
        <w:rPr>
          <w:rFonts w:ascii="Arial" w:hAnsi="Arial" w:cs="Arial"/>
          <w:b/>
          <w:i/>
        </w:rPr>
        <w:t xml:space="preserve"> s katerim sta se dogovorili, da bosta spore, ki se lahko nanašajo na uporabo ali razlago prava unije, izvzeli iz pristojnosti svojih sodišč. To ni v skladu s pravom EU.</w:t>
      </w:r>
      <w:r w:rsidR="00A43A70" w:rsidRPr="00A43A70">
        <w:rPr>
          <w:rFonts w:ascii="Arial" w:hAnsi="Arial" w:cs="Arial"/>
          <w:sz w:val="20"/>
          <w:szCs w:val="20"/>
        </w:rPr>
        <w:t xml:space="preserve"> </w:t>
      </w:r>
      <w:r w:rsidR="00A43A70" w:rsidRPr="00A43A70">
        <w:rPr>
          <w:rFonts w:ascii="Arial" w:hAnsi="Arial" w:cs="Arial"/>
          <w:b/>
          <w:i/>
        </w:rPr>
        <w:t>Zaveze bodo po zagotovilih Evropske komisije vlagateljem in arbitražnim sodiščem do prekinitve dvostranskih naložbenih pogodb zagotovile dodatno pravno varnost.</w:t>
      </w:r>
    </w:p>
    <w:p w:rsidR="009B65A3" w:rsidRPr="00A43A70" w:rsidRDefault="002F0551" w:rsidP="00A43A70">
      <w:pPr>
        <w:rPr>
          <w:rFonts w:ascii="Arial" w:hAnsi="Arial" w:cs="Arial"/>
          <w:sz w:val="20"/>
          <w:szCs w:val="20"/>
        </w:rPr>
      </w:pPr>
      <w:r w:rsidRPr="00A43A70">
        <w:rPr>
          <w:rFonts w:ascii="Arial" w:hAnsi="Arial" w:cs="Arial"/>
          <w:sz w:val="20"/>
          <w:szCs w:val="20"/>
        </w:rPr>
        <w:t xml:space="preserve">S tem, ko sta </w:t>
      </w:r>
      <w:r w:rsidR="00A43A70">
        <w:rPr>
          <w:rFonts w:ascii="Arial" w:hAnsi="Arial" w:cs="Arial"/>
          <w:sz w:val="20"/>
          <w:szCs w:val="20"/>
        </w:rPr>
        <w:t xml:space="preserve">Slovaška in Nizozemska </w:t>
      </w:r>
      <w:r w:rsidRPr="00A43A70">
        <w:rPr>
          <w:rFonts w:ascii="Arial" w:hAnsi="Arial" w:cs="Arial"/>
          <w:sz w:val="20"/>
          <w:szCs w:val="20"/>
        </w:rPr>
        <w:t>spore, ki se lahko nanašajo na uporabo ali razlago prava unije, izvzeli iz pristojnosti svojih sodišč, sta jih izvzeli</w:t>
      </w:r>
      <w:r w:rsidR="009B65A3" w:rsidRPr="00A43A70">
        <w:rPr>
          <w:rFonts w:ascii="Arial" w:hAnsi="Arial" w:cs="Arial"/>
          <w:sz w:val="20"/>
          <w:szCs w:val="20"/>
        </w:rPr>
        <w:t xml:space="preserve"> tudi iz ureditve pravnih sredstev, ki jo morajo </w:t>
      </w:r>
      <w:r w:rsidRPr="00A43A70">
        <w:rPr>
          <w:rFonts w:ascii="Arial" w:hAnsi="Arial" w:cs="Arial"/>
          <w:sz w:val="20"/>
          <w:szCs w:val="20"/>
        </w:rPr>
        <w:t>v skladu s pogodbo</w:t>
      </w:r>
      <w:r w:rsidR="009B65A3" w:rsidRPr="00A43A70">
        <w:rPr>
          <w:rFonts w:ascii="Arial" w:hAnsi="Arial" w:cs="Arial"/>
          <w:sz w:val="20"/>
          <w:szCs w:val="20"/>
        </w:rPr>
        <w:t xml:space="preserve"> EU vzpostaviti na področjih, ki jih ureja pravo Unije.</w:t>
      </w:r>
      <w:r w:rsidRPr="00A43A70">
        <w:rPr>
          <w:rFonts w:ascii="Arial" w:hAnsi="Arial" w:cs="Arial"/>
          <w:sz w:val="20"/>
          <w:szCs w:val="20"/>
        </w:rPr>
        <w:t xml:space="preserve"> Iz teh razlogov je sodišče odločilo, da sta Slovaška in Nizozemska s sklenitvijo sporazuma vzpostavili mehanizem za reševanje sporov, s katerim ni mogoče zagotoviti, da bo o teh sporih odločalo sodišče iz sodnega sistema unije, pri čemer lahko le tako sodišče zagotovi polno učinkovitost njenega prava. V teh okoliščinah arbitražna klavzula iz sporazuma posega v avtonomijo prava unije in zato ni v skladu z njim.</w:t>
      </w:r>
    </w:p>
    <w:p w:rsidR="002F0551" w:rsidRPr="00A43A70" w:rsidRDefault="002F0551" w:rsidP="00A43A70">
      <w:pPr>
        <w:rPr>
          <w:rFonts w:ascii="Arial" w:hAnsi="Arial" w:cs="Arial"/>
          <w:sz w:val="20"/>
          <w:szCs w:val="20"/>
        </w:rPr>
      </w:pPr>
      <w:r w:rsidRPr="00A43A70">
        <w:rPr>
          <w:rFonts w:ascii="Arial" w:hAnsi="Arial" w:cs="Arial"/>
          <w:sz w:val="20"/>
          <w:szCs w:val="20"/>
        </w:rPr>
        <w:t xml:space="preserve">Takšnih sporazumov, kot sta ga sklenili Slovaška in Nizozemska, imajo države članice EU med seboj sklenjenih okrog 200. Za te sporazume so se zavezale, da jih bodo prekinile. To pa ne pomeni, da bodo vlagatelji ostali brez pravnega varstva. Po razlagi Evropske komisije pravo EU določa zaščito vseh vlagateljev EU proti nezakonitemu poseganju držav članic, kar zagotavlja njihovo enako obravnavo. </w:t>
      </w:r>
    </w:p>
    <w:p w:rsidR="002F0551" w:rsidRPr="00A43A70" w:rsidRDefault="002F0551" w:rsidP="00A43A70">
      <w:pPr>
        <w:rPr>
          <w:rFonts w:ascii="Arial" w:hAnsi="Arial" w:cs="Arial"/>
          <w:sz w:val="20"/>
          <w:szCs w:val="20"/>
        </w:rPr>
      </w:pPr>
      <w:r w:rsidRPr="00A43A70">
        <w:rPr>
          <w:rFonts w:ascii="Arial" w:hAnsi="Arial" w:cs="Arial"/>
          <w:sz w:val="20"/>
          <w:szCs w:val="20"/>
        </w:rPr>
        <w:t>Zaveze bodo po zagotovilih Evropske komisije vlagateljem in arbitražnim sodiščem do prekinitve dvostranskih naložbenih pogodb zagotovile dodatno pravno varnost, prav tako pa naj bi preprečile nove arbitražne odločbe in postopke, ki ne bi bile v skladu s pravom EU.</w:t>
      </w:r>
    </w:p>
    <w:p w:rsidR="002F0551" w:rsidRPr="00A43A70" w:rsidRDefault="002F0551" w:rsidP="00A43A70">
      <w:pPr>
        <w:rPr>
          <w:rFonts w:ascii="Arial" w:hAnsi="Arial" w:cs="Arial"/>
          <w:b/>
          <w:sz w:val="20"/>
          <w:szCs w:val="20"/>
        </w:rPr>
      </w:pPr>
      <w:r w:rsidRPr="00A43A70">
        <w:rPr>
          <w:rFonts w:ascii="Arial" w:hAnsi="Arial" w:cs="Arial"/>
          <w:b/>
          <w:sz w:val="20"/>
          <w:szCs w:val="20"/>
        </w:rPr>
        <w:t>Koristne informacije:</w:t>
      </w:r>
    </w:p>
    <w:p w:rsidR="002F0551" w:rsidRPr="00A43A70" w:rsidRDefault="002F0551" w:rsidP="00A43A70">
      <w:pPr>
        <w:pStyle w:val="Odstavekseznama"/>
        <w:numPr>
          <w:ilvl w:val="0"/>
          <w:numId w:val="1"/>
        </w:numPr>
        <w:rPr>
          <w:rFonts w:ascii="Arial" w:hAnsi="Arial" w:cs="Arial"/>
          <w:sz w:val="20"/>
          <w:szCs w:val="20"/>
        </w:rPr>
      </w:pPr>
      <w:r w:rsidRPr="00A43A70">
        <w:rPr>
          <w:rFonts w:ascii="Arial" w:hAnsi="Arial" w:cs="Arial"/>
          <w:sz w:val="20"/>
          <w:szCs w:val="20"/>
        </w:rPr>
        <w:t>Zaveza, ki jo je podpisala Slovenija:</w:t>
      </w:r>
    </w:p>
    <w:p w:rsidR="002F0551" w:rsidRPr="00A43A70" w:rsidRDefault="002F0551" w:rsidP="00A43A70">
      <w:pPr>
        <w:pStyle w:val="Odstavekseznama"/>
        <w:numPr>
          <w:ilvl w:val="0"/>
          <w:numId w:val="1"/>
        </w:numPr>
        <w:rPr>
          <w:rFonts w:ascii="Arial" w:hAnsi="Arial" w:cs="Arial"/>
          <w:sz w:val="20"/>
          <w:szCs w:val="20"/>
        </w:rPr>
      </w:pPr>
      <w:hyperlink r:id="rId6" w:history="1">
        <w:r w:rsidRPr="00A43A70">
          <w:rPr>
            <w:rStyle w:val="Hiperpovezava"/>
            <w:rFonts w:ascii="Arial" w:hAnsi="Arial" w:cs="Arial"/>
            <w:sz w:val="20"/>
            <w:szCs w:val="20"/>
          </w:rPr>
          <w:t>https://www.regeringen.se/48ee19/contentassets/d759689c0c804a9ea7af6b2de7320128/achmea-declaration.pdf</w:t>
        </w:r>
      </w:hyperlink>
    </w:p>
    <w:p w:rsidR="002F0551" w:rsidRDefault="002F0551" w:rsidP="00A43A70">
      <w:pPr>
        <w:pStyle w:val="Odstavekseznama"/>
        <w:numPr>
          <w:ilvl w:val="0"/>
          <w:numId w:val="1"/>
        </w:numPr>
        <w:rPr>
          <w:rFonts w:ascii="Arial" w:hAnsi="Arial" w:cs="Arial"/>
          <w:sz w:val="20"/>
          <w:szCs w:val="20"/>
        </w:rPr>
      </w:pPr>
      <w:r w:rsidRPr="00A43A70">
        <w:rPr>
          <w:rFonts w:ascii="Arial" w:hAnsi="Arial" w:cs="Arial"/>
          <w:sz w:val="20"/>
          <w:szCs w:val="20"/>
        </w:rPr>
        <w:t xml:space="preserve">Deklaracija o pravnih posledicah sodbe Sodišča EU v zadevi </w:t>
      </w:r>
      <w:proofErr w:type="spellStart"/>
      <w:r w:rsidRPr="00A43A70">
        <w:rPr>
          <w:rFonts w:ascii="Arial" w:hAnsi="Arial" w:cs="Arial"/>
          <w:sz w:val="20"/>
          <w:szCs w:val="20"/>
        </w:rPr>
        <w:t>Achmea</w:t>
      </w:r>
      <w:proofErr w:type="spellEnd"/>
      <w:r w:rsidRPr="00A43A70">
        <w:rPr>
          <w:rFonts w:ascii="Arial" w:hAnsi="Arial" w:cs="Arial"/>
          <w:sz w:val="20"/>
          <w:szCs w:val="20"/>
        </w:rPr>
        <w:t>:</w:t>
      </w:r>
    </w:p>
    <w:p w:rsidR="00A43A70" w:rsidRPr="00A43A70" w:rsidRDefault="00A43A70" w:rsidP="00A43A70">
      <w:pPr>
        <w:pStyle w:val="Odstavekseznama"/>
        <w:numPr>
          <w:ilvl w:val="0"/>
          <w:numId w:val="1"/>
        </w:numPr>
        <w:rPr>
          <w:rFonts w:ascii="Arial" w:hAnsi="Arial" w:cs="Arial"/>
          <w:sz w:val="20"/>
          <w:szCs w:val="20"/>
        </w:rPr>
      </w:pPr>
      <w:hyperlink r:id="rId7" w:history="1">
        <w:r w:rsidRPr="00A04A6A">
          <w:rPr>
            <w:rStyle w:val="Hiperpovezava"/>
            <w:rFonts w:ascii="Arial" w:hAnsi="Arial" w:cs="Arial"/>
            <w:sz w:val="20"/>
            <w:szCs w:val="20"/>
          </w:rPr>
          <w:t>https://ec.europa.eu/info/publications/190117-bilateral-investment-treaties_en</w:t>
        </w:r>
      </w:hyperlink>
      <w:r>
        <w:rPr>
          <w:rFonts w:ascii="Arial" w:hAnsi="Arial" w:cs="Arial"/>
          <w:sz w:val="20"/>
          <w:szCs w:val="20"/>
        </w:rPr>
        <w:t xml:space="preserve"> </w:t>
      </w:r>
    </w:p>
    <w:p w:rsidR="002F0551" w:rsidRPr="00A43A70" w:rsidRDefault="002F0551" w:rsidP="00A43A70">
      <w:pPr>
        <w:pStyle w:val="Odstavekseznama"/>
        <w:numPr>
          <w:ilvl w:val="0"/>
          <w:numId w:val="1"/>
        </w:numPr>
        <w:rPr>
          <w:rFonts w:ascii="Arial" w:hAnsi="Arial" w:cs="Arial"/>
          <w:sz w:val="20"/>
          <w:szCs w:val="20"/>
        </w:rPr>
      </w:pPr>
      <w:hyperlink r:id="rId8" w:history="1">
        <w:r w:rsidRPr="00A43A70">
          <w:rPr>
            <w:rStyle w:val="Hiperpovezava"/>
            <w:rFonts w:ascii="Arial" w:hAnsi="Arial" w:cs="Arial"/>
            <w:sz w:val="20"/>
            <w:szCs w:val="20"/>
          </w:rPr>
          <w:t>https://ec.europa.eu/info/sites/info/files/business_economy_euro/banking_and_finance/documents/190117-bilateral-investment-treaties_en.pdf</w:t>
        </w:r>
      </w:hyperlink>
    </w:p>
    <w:p w:rsidR="002F0551" w:rsidRPr="00A43A70" w:rsidRDefault="00A43A70" w:rsidP="00A43A70">
      <w:pPr>
        <w:pStyle w:val="Odstavekseznama"/>
        <w:numPr>
          <w:ilvl w:val="0"/>
          <w:numId w:val="1"/>
        </w:numPr>
        <w:rPr>
          <w:rFonts w:ascii="Arial" w:hAnsi="Arial" w:cs="Arial"/>
          <w:sz w:val="20"/>
          <w:szCs w:val="20"/>
        </w:rPr>
      </w:pPr>
      <w:r w:rsidRPr="00A43A70">
        <w:rPr>
          <w:rFonts w:ascii="Arial" w:hAnsi="Arial" w:cs="Arial"/>
          <w:sz w:val="20"/>
          <w:szCs w:val="20"/>
        </w:rPr>
        <w:lastRenderedPageBreak/>
        <w:t xml:space="preserve">Sodba v zadevi </w:t>
      </w:r>
      <w:proofErr w:type="spellStart"/>
      <w:r w:rsidRPr="00A43A70">
        <w:rPr>
          <w:rFonts w:ascii="Arial" w:hAnsi="Arial" w:cs="Arial"/>
          <w:sz w:val="20"/>
          <w:szCs w:val="20"/>
        </w:rPr>
        <w:t>Achmea</w:t>
      </w:r>
      <w:proofErr w:type="spellEnd"/>
      <w:r w:rsidRPr="00A43A70">
        <w:rPr>
          <w:rFonts w:ascii="Arial" w:hAnsi="Arial" w:cs="Arial"/>
          <w:sz w:val="20"/>
          <w:szCs w:val="20"/>
        </w:rPr>
        <w:t>:</w:t>
      </w:r>
    </w:p>
    <w:p w:rsidR="00A43A70" w:rsidRPr="00A43A70" w:rsidRDefault="00A43A70" w:rsidP="00A43A70">
      <w:pPr>
        <w:pStyle w:val="Odstavekseznama"/>
        <w:numPr>
          <w:ilvl w:val="0"/>
          <w:numId w:val="1"/>
        </w:numPr>
        <w:rPr>
          <w:rFonts w:ascii="Arial" w:hAnsi="Arial" w:cs="Arial"/>
          <w:sz w:val="20"/>
          <w:szCs w:val="20"/>
        </w:rPr>
      </w:pPr>
      <w:hyperlink r:id="rId9" w:history="1">
        <w:r w:rsidRPr="00A43A70">
          <w:rPr>
            <w:rStyle w:val="Hiperpovezava"/>
            <w:rFonts w:ascii="Arial" w:hAnsi="Arial" w:cs="Arial"/>
            <w:sz w:val="20"/>
            <w:szCs w:val="20"/>
          </w:rPr>
          <w:t>http://curia.europa.eu/juris/documents.jsf?num=C-284/16</w:t>
        </w:r>
      </w:hyperlink>
    </w:p>
    <w:p w:rsidR="00A43A70" w:rsidRPr="00A43A70" w:rsidRDefault="00A43A70" w:rsidP="00A43A70">
      <w:pPr>
        <w:pStyle w:val="Odstavekseznama"/>
        <w:numPr>
          <w:ilvl w:val="0"/>
          <w:numId w:val="1"/>
        </w:numPr>
        <w:rPr>
          <w:rFonts w:ascii="Arial" w:hAnsi="Arial" w:cs="Arial"/>
          <w:sz w:val="20"/>
          <w:szCs w:val="20"/>
        </w:rPr>
      </w:pPr>
      <w:r w:rsidRPr="00A43A70">
        <w:rPr>
          <w:rFonts w:ascii="Arial" w:hAnsi="Arial" w:cs="Arial"/>
          <w:sz w:val="20"/>
          <w:szCs w:val="20"/>
        </w:rPr>
        <w:t>Sporočilo Evropske komisije o zaščiti naložb:</w:t>
      </w:r>
    </w:p>
    <w:p w:rsidR="00A43A70" w:rsidRPr="00A43A70" w:rsidRDefault="00A43A70" w:rsidP="00A43A70">
      <w:pPr>
        <w:pStyle w:val="Odstavekseznama"/>
        <w:numPr>
          <w:ilvl w:val="0"/>
          <w:numId w:val="1"/>
        </w:numPr>
        <w:rPr>
          <w:rFonts w:ascii="Arial" w:hAnsi="Arial" w:cs="Arial"/>
          <w:sz w:val="20"/>
          <w:szCs w:val="20"/>
        </w:rPr>
      </w:pPr>
      <w:hyperlink r:id="rId10" w:history="1">
        <w:r w:rsidRPr="00A43A70">
          <w:rPr>
            <w:rStyle w:val="Hiperpovezava"/>
            <w:rFonts w:ascii="Arial" w:hAnsi="Arial" w:cs="Arial"/>
            <w:sz w:val="20"/>
            <w:szCs w:val="20"/>
          </w:rPr>
          <w:t>https://ec.europa.eu/info/publications/180719-communication-capital-movements_en</w:t>
        </w:r>
      </w:hyperlink>
    </w:p>
    <w:p w:rsidR="00A43A70" w:rsidRPr="00A43A70" w:rsidRDefault="00A43A70" w:rsidP="00A43A70">
      <w:pPr>
        <w:rPr>
          <w:rFonts w:ascii="Arial" w:hAnsi="Arial" w:cs="Arial"/>
          <w:sz w:val="20"/>
          <w:szCs w:val="20"/>
        </w:rPr>
      </w:pPr>
      <w:r w:rsidRPr="00A43A70">
        <w:rPr>
          <w:rFonts w:ascii="Arial" w:hAnsi="Arial" w:cs="Arial"/>
          <w:sz w:val="20"/>
          <w:szCs w:val="20"/>
        </w:rPr>
        <w:t>Pripravila:</w:t>
      </w:r>
    </w:p>
    <w:p w:rsidR="00A43A70" w:rsidRPr="00A43A70" w:rsidRDefault="00A43A70" w:rsidP="00A43A70">
      <w:pPr>
        <w:rPr>
          <w:rFonts w:ascii="Arial" w:hAnsi="Arial" w:cs="Arial"/>
          <w:sz w:val="20"/>
          <w:szCs w:val="20"/>
        </w:rPr>
      </w:pPr>
      <w:r w:rsidRPr="00A43A70">
        <w:rPr>
          <w:rFonts w:ascii="Arial" w:hAnsi="Arial" w:cs="Arial"/>
          <w:sz w:val="20"/>
          <w:szCs w:val="20"/>
        </w:rPr>
        <w:t>Darja Kocbek</w:t>
      </w:r>
    </w:p>
    <w:p w:rsidR="002F0551" w:rsidRPr="009B65A3" w:rsidRDefault="002F0551"/>
    <w:p w:rsidR="009B65A3" w:rsidRDefault="009B65A3"/>
    <w:sectPr w:rsidR="009B65A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81094"/>
    <w:multiLevelType w:val="hybridMultilevel"/>
    <w:tmpl w:val="472861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3C9E"/>
    <w:rsid w:val="002F0551"/>
    <w:rsid w:val="004A00D8"/>
    <w:rsid w:val="00550CF1"/>
    <w:rsid w:val="007C3C9E"/>
    <w:rsid w:val="008D2449"/>
    <w:rsid w:val="00964EFB"/>
    <w:rsid w:val="009B65A3"/>
    <w:rsid w:val="00A43A70"/>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rsid w:val="00550CF1"/>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C3C9E"/>
    <w:rPr>
      <w:color w:val="0000FF"/>
      <w:u w:val="single"/>
    </w:rPr>
  </w:style>
  <w:style w:type="paragraph" w:styleId="Odstavekseznama">
    <w:name w:val="List Paragraph"/>
    <w:basedOn w:val="Navaden"/>
    <w:uiPriority w:val="34"/>
    <w:qFormat/>
    <w:rsid w:val="00A43A70"/>
    <w:pPr>
      <w:ind w:left="720"/>
      <w:contextualSpacing/>
    </w:pPr>
  </w:style>
  <w:style w:type="character" w:customStyle="1" w:styleId="Naslov2Znak">
    <w:name w:val="Naslov 2 Znak"/>
    <w:basedOn w:val="Privzetapisavaodstavka"/>
    <w:link w:val="Naslov2"/>
    <w:rsid w:val="00550CF1"/>
    <w:rPr>
      <w:rFonts w:ascii="Arial" w:eastAsia="Arial" w:hAnsi="Arial" w:cs="Arial"/>
      <w:sz w:val="32"/>
      <w:szCs w:val="32"/>
      <w:lang w:eastAsia="sl-SI"/>
    </w:rPr>
  </w:style>
  <w:style w:type="paragraph" w:styleId="Besedilooblaka">
    <w:name w:val="Balloon Text"/>
    <w:basedOn w:val="Navaden"/>
    <w:link w:val="BesedilooblakaZnak"/>
    <w:uiPriority w:val="99"/>
    <w:semiHidden/>
    <w:unhideWhenUsed/>
    <w:rsid w:val="00550CF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0C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ites/info/files/business_economy_euro/banking_and_finance/documents/190117-bilateral-investment-treaties_en.pdf" TargetMode="External"/><Relationship Id="rId3" Type="http://schemas.openxmlformats.org/officeDocument/2006/relationships/settings" Target="settings.xml"/><Relationship Id="rId7" Type="http://schemas.openxmlformats.org/officeDocument/2006/relationships/hyperlink" Target="https://ec.europa.eu/info/publications/190117-bilateral-investment-treaties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eringen.se/48ee19/contentassets/d759689c0c804a9ea7af6b2de7320128/achmea-declaration.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info/publications/180719-communication-capital-movements_en" TargetMode="External"/><Relationship Id="rId4" Type="http://schemas.openxmlformats.org/officeDocument/2006/relationships/webSettings" Target="webSettings.xml"/><Relationship Id="rId9" Type="http://schemas.openxmlformats.org/officeDocument/2006/relationships/hyperlink" Target="http://curia.europa.eu/juris/documents.jsf?num=C-284/1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501</Words>
  <Characters>2857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2019-01-17T12:46:00Z</dcterms:created>
  <dcterms:modified xsi:type="dcterms:W3CDTF">2019-01-17T13:41:00Z</dcterms:modified>
</cp:coreProperties>
</file>