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39" w:rsidRPr="00467345" w:rsidRDefault="00575439" w:rsidP="0057543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75439" w:rsidRPr="00083714" w:rsidRDefault="00575439" w:rsidP="00575439">
      <w:pPr>
        <w:pStyle w:val="Naslov2"/>
        <w:tabs>
          <w:tab w:val="left" w:pos="3120"/>
        </w:tabs>
        <w:spacing w:before="240"/>
        <w:jc w:val="center"/>
        <w:rPr>
          <w:b w:val="0"/>
          <w:bCs w:val="0"/>
          <w:i/>
          <w:iCs/>
          <w:sz w:val="22"/>
        </w:rPr>
      </w:pPr>
      <w:r w:rsidRPr="00083714">
        <w:rPr>
          <w:sz w:val="22"/>
        </w:rPr>
        <w:t>Slovensko gospodarsko in raziskovalno združenje, Bruselj</w:t>
      </w:r>
    </w:p>
    <w:p w:rsidR="00575439" w:rsidRPr="00083714" w:rsidRDefault="00575439" w:rsidP="00575439">
      <w:pPr>
        <w:pBdr>
          <w:bottom w:val="single" w:sz="6" w:space="1" w:color="auto"/>
        </w:pBdr>
        <w:tabs>
          <w:tab w:val="left" w:pos="3120"/>
        </w:tabs>
        <w:spacing w:before="240"/>
        <w:rPr>
          <w:sz w:val="16"/>
          <w:szCs w:val="16"/>
        </w:rPr>
      </w:pPr>
    </w:p>
    <w:p w:rsidR="00575439" w:rsidRDefault="00575439" w:rsidP="00575439">
      <w:pPr>
        <w:tabs>
          <w:tab w:val="left" w:pos="3120"/>
        </w:tabs>
        <w:spacing w:before="240"/>
        <w:rPr>
          <w:b/>
        </w:rPr>
      </w:pPr>
      <w:r w:rsidRPr="00083714">
        <w:rPr>
          <w:b/>
        </w:rPr>
        <w:tab/>
      </w:r>
      <w:r>
        <w:rPr>
          <w:b/>
        </w:rPr>
        <w:t xml:space="preserve">Občasna informacija članom 129 </w:t>
      </w:r>
      <w:r w:rsidRPr="00083714">
        <w:rPr>
          <w:b/>
        </w:rPr>
        <w:t>– 20</w:t>
      </w:r>
      <w:r>
        <w:rPr>
          <w:b/>
        </w:rPr>
        <w:t>22</w:t>
      </w:r>
    </w:p>
    <w:p w:rsidR="00575439" w:rsidRPr="0002310E" w:rsidRDefault="00575439" w:rsidP="00575439">
      <w:pPr>
        <w:tabs>
          <w:tab w:val="left" w:pos="3120"/>
        </w:tabs>
        <w:spacing w:before="240"/>
        <w:jc w:val="center"/>
        <w:rPr>
          <w:b/>
        </w:rPr>
      </w:pPr>
      <w:r>
        <w:rPr>
          <w:b/>
        </w:rPr>
        <w:t xml:space="preserve">29. avgust </w:t>
      </w:r>
      <w:r w:rsidRPr="00083714">
        <w:rPr>
          <w:b/>
        </w:rPr>
        <w:t xml:space="preserve"> 20</w:t>
      </w:r>
      <w:r>
        <w:rPr>
          <w:b/>
        </w:rPr>
        <w:t>22</w:t>
      </w:r>
    </w:p>
    <w:p w:rsidR="006F0698" w:rsidRDefault="00575439" w:rsidP="00575439">
      <w:pPr>
        <w:jc w:val="center"/>
        <w:rPr>
          <w:rFonts w:ascii="Arial" w:hAnsi="Arial" w:cs="Arial"/>
          <w:b/>
          <w:i/>
        </w:rPr>
      </w:pPr>
      <w:r>
        <w:rPr>
          <w:b/>
          <w:color w:val="993300"/>
          <w:sz w:val="32"/>
          <w:szCs w:val="32"/>
        </w:rPr>
        <w:t>Seznam glavnih kazalnikov za spremljanje napredka pri doseganju okoljskih in podnebnih ciljev EU</w:t>
      </w:r>
    </w:p>
    <w:p w:rsidR="00CA04AC" w:rsidRPr="00C20412" w:rsidRDefault="00DF4974" w:rsidP="00C20412">
      <w:pPr>
        <w:jc w:val="both"/>
        <w:rPr>
          <w:rFonts w:ascii="Arial" w:hAnsi="Arial" w:cs="Arial"/>
          <w:b/>
          <w:i/>
        </w:rPr>
      </w:pPr>
      <w:r w:rsidRPr="00C20412">
        <w:rPr>
          <w:rFonts w:ascii="Arial" w:hAnsi="Arial" w:cs="Arial"/>
          <w:b/>
          <w:i/>
        </w:rPr>
        <w:t>Evropska komisija je predstavila seznam glavnih kazalnikov za spremljanje napredka pri doseganju okoljskih in podnebnih ciljev EU do leta 2030 ter dolgoročno vizijo do leta 2050</w:t>
      </w:r>
      <w:r w:rsidR="004E583F" w:rsidRPr="00C20412">
        <w:rPr>
          <w:rFonts w:ascii="Arial" w:hAnsi="Arial" w:cs="Arial"/>
          <w:b/>
          <w:i/>
        </w:rPr>
        <w:t>. Oblikovani so v skladu s strukturo osmega okoljskega akcijskega programa, ki temelji na evropskem zelenem dogovoru, in vključujejo dva ali tri za politiko najbolj pomembne in statistično zanesljive kazalnike za vsak tematski prednostni cilj do leta 2030. Ti so blažitev podnebnih sprememb, prilagajanje podnebnim spremembam, krožno gospodarstvo, ničelno onesnaževanje in biotsko raznovrstnost. Člani lahko dobijo več informacij na SBRA.</w:t>
      </w:r>
    </w:p>
    <w:p w:rsidR="004E583F" w:rsidRPr="00C20412" w:rsidRDefault="004E583F" w:rsidP="00C20412">
      <w:pPr>
        <w:jc w:val="both"/>
        <w:rPr>
          <w:rFonts w:ascii="Arial" w:hAnsi="Arial" w:cs="Arial"/>
          <w:sz w:val="20"/>
          <w:szCs w:val="20"/>
        </w:rPr>
      </w:pPr>
      <w:r w:rsidRPr="00C20412">
        <w:rPr>
          <w:rFonts w:ascii="Arial" w:hAnsi="Arial" w:cs="Arial"/>
          <w:sz w:val="20"/>
          <w:szCs w:val="20"/>
        </w:rPr>
        <w:t>Seznam vključuje tudi pet kazalnikov za merjenje napredka pri obravnavanju glavnih pritiskov na okolje in podnebje. V skladu s cilji evropskega zelenega dogovora to zajema prehod na trajnostne sisteme za energijo, industrijo, mobilnost in hrano.</w:t>
      </w:r>
    </w:p>
    <w:p w:rsidR="004E583F" w:rsidRPr="00C20412" w:rsidRDefault="004E583F" w:rsidP="00C20412">
      <w:pPr>
        <w:jc w:val="both"/>
        <w:rPr>
          <w:rFonts w:ascii="Arial" w:hAnsi="Arial" w:cs="Arial"/>
          <w:sz w:val="20"/>
          <w:szCs w:val="20"/>
        </w:rPr>
      </w:pPr>
      <w:r w:rsidRPr="00C20412">
        <w:rPr>
          <w:rFonts w:ascii="Arial" w:hAnsi="Arial" w:cs="Arial"/>
          <w:sz w:val="20"/>
          <w:szCs w:val="20"/>
        </w:rPr>
        <w:t xml:space="preserve">Glavni kazalniki vključujejo tudi kazalnike za spremljanje napredka pri doseganju glavnih </w:t>
      </w:r>
      <w:proofErr w:type="spellStart"/>
      <w:r w:rsidRPr="00C20412">
        <w:rPr>
          <w:rFonts w:ascii="Arial" w:hAnsi="Arial" w:cs="Arial"/>
          <w:sz w:val="20"/>
          <w:szCs w:val="20"/>
        </w:rPr>
        <w:t>omogočitvenih</w:t>
      </w:r>
      <w:proofErr w:type="spellEnd"/>
      <w:r w:rsidRPr="00C20412">
        <w:rPr>
          <w:rFonts w:ascii="Arial" w:hAnsi="Arial" w:cs="Arial"/>
          <w:sz w:val="20"/>
          <w:szCs w:val="20"/>
        </w:rPr>
        <w:t xml:space="preserve"> pogojev, ki zajemajo trajnostno financiranje, načelo »onesnaževalec plača« in postopno odpravo okolju škodljivih subvencij.</w:t>
      </w:r>
    </w:p>
    <w:p w:rsidR="004E583F" w:rsidRPr="00C20412" w:rsidRDefault="004E583F" w:rsidP="00C20412">
      <w:pPr>
        <w:jc w:val="both"/>
        <w:rPr>
          <w:rFonts w:ascii="Arial" w:hAnsi="Arial" w:cs="Arial"/>
          <w:sz w:val="20"/>
          <w:szCs w:val="20"/>
        </w:rPr>
      </w:pPr>
      <w:r w:rsidRPr="00C20412">
        <w:rPr>
          <w:rFonts w:ascii="Arial" w:hAnsi="Arial" w:cs="Arial"/>
          <w:sz w:val="20"/>
          <w:szCs w:val="20"/>
        </w:rPr>
        <w:t>Zadnje poglavje vključuje sistemske kazalnike, katerih cilj je zajeti napredek pri doseganju treh razsežnosti okoljske blaginje, da bi obravnavali tudi ekonomske in socialne vidike, ki presegajo varstvo narave.</w:t>
      </w:r>
    </w:p>
    <w:p w:rsidR="004E583F" w:rsidRPr="00C20412" w:rsidRDefault="004E583F" w:rsidP="00C20412">
      <w:pPr>
        <w:jc w:val="both"/>
        <w:rPr>
          <w:rFonts w:ascii="Arial" w:hAnsi="Arial" w:cs="Arial"/>
          <w:b/>
          <w:sz w:val="20"/>
          <w:szCs w:val="20"/>
        </w:rPr>
      </w:pPr>
      <w:r w:rsidRPr="00C20412">
        <w:rPr>
          <w:rFonts w:ascii="Arial" w:hAnsi="Arial" w:cs="Arial"/>
          <w:b/>
          <w:sz w:val="20"/>
          <w:szCs w:val="20"/>
        </w:rPr>
        <w:t>Koristne informacije:</w:t>
      </w:r>
    </w:p>
    <w:p w:rsidR="004E583F" w:rsidRPr="00C20412" w:rsidRDefault="004E583F" w:rsidP="00C20412">
      <w:pPr>
        <w:pStyle w:val="Odstavekseznama"/>
        <w:numPr>
          <w:ilvl w:val="0"/>
          <w:numId w:val="1"/>
        </w:numPr>
        <w:jc w:val="both"/>
        <w:rPr>
          <w:rFonts w:ascii="Arial" w:hAnsi="Arial" w:cs="Arial"/>
          <w:sz w:val="20"/>
          <w:szCs w:val="20"/>
        </w:rPr>
      </w:pPr>
      <w:r w:rsidRPr="00C20412">
        <w:rPr>
          <w:rFonts w:ascii="Arial" w:hAnsi="Arial" w:cs="Arial"/>
          <w:sz w:val="20"/>
          <w:szCs w:val="20"/>
        </w:rPr>
        <w:t>Kazalniki:</w:t>
      </w:r>
    </w:p>
    <w:p w:rsidR="004E583F" w:rsidRPr="00C20412" w:rsidRDefault="004E583F" w:rsidP="00C20412">
      <w:pPr>
        <w:pStyle w:val="Odstavekseznama"/>
        <w:numPr>
          <w:ilvl w:val="0"/>
          <w:numId w:val="1"/>
        </w:numPr>
        <w:jc w:val="both"/>
        <w:rPr>
          <w:rFonts w:ascii="Arial" w:hAnsi="Arial" w:cs="Arial"/>
          <w:sz w:val="20"/>
          <w:szCs w:val="20"/>
        </w:rPr>
      </w:pPr>
      <w:hyperlink r:id="rId6" w:history="1">
        <w:r w:rsidRPr="00C20412">
          <w:rPr>
            <w:rStyle w:val="Hiperpovezava"/>
            <w:rFonts w:ascii="Arial" w:hAnsi="Arial" w:cs="Arial"/>
            <w:sz w:val="20"/>
            <w:szCs w:val="20"/>
          </w:rPr>
          <w:t>https://eur-lex.europa.eu/legal-content/SL/TXT/HTML/?uri=CELEX:52022DC0357&amp;from=EN</w:t>
        </w:r>
      </w:hyperlink>
    </w:p>
    <w:p w:rsidR="004E583F" w:rsidRPr="00C20412" w:rsidRDefault="004E3429" w:rsidP="00C20412">
      <w:pPr>
        <w:pStyle w:val="Odstavekseznama"/>
        <w:numPr>
          <w:ilvl w:val="0"/>
          <w:numId w:val="1"/>
        </w:numPr>
        <w:jc w:val="both"/>
        <w:rPr>
          <w:rFonts w:ascii="Arial" w:hAnsi="Arial" w:cs="Arial"/>
          <w:sz w:val="20"/>
          <w:szCs w:val="20"/>
        </w:rPr>
      </w:pPr>
      <w:r w:rsidRPr="00C20412">
        <w:rPr>
          <w:rFonts w:ascii="Arial" w:hAnsi="Arial" w:cs="Arial"/>
          <w:sz w:val="20"/>
          <w:szCs w:val="20"/>
        </w:rPr>
        <w:t>Osmi okoljski akcijski program:</w:t>
      </w:r>
    </w:p>
    <w:p w:rsidR="004E3429" w:rsidRPr="00C20412" w:rsidRDefault="004E3429" w:rsidP="00C20412">
      <w:pPr>
        <w:pStyle w:val="Odstavekseznama"/>
        <w:numPr>
          <w:ilvl w:val="0"/>
          <w:numId w:val="1"/>
        </w:numPr>
        <w:jc w:val="both"/>
        <w:rPr>
          <w:rFonts w:ascii="Arial" w:hAnsi="Arial" w:cs="Arial"/>
          <w:sz w:val="20"/>
          <w:szCs w:val="20"/>
        </w:rPr>
      </w:pPr>
      <w:hyperlink r:id="rId7" w:history="1">
        <w:r w:rsidRPr="00C20412">
          <w:rPr>
            <w:rStyle w:val="Hiperpovezava"/>
            <w:rFonts w:ascii="Arial" w:hAnsi="Arial" w:cs="Arial"/>
            <w:sz w:val="20"/>
            <w:szCs w:val="20"/>
          </w:rPr>
          <w:t>https://eur-lex.europa.eu/legal-content/SL/TXT/HTML/?uri=CELEX:32022D0591&amp;from=EN</w:t>
        </w:r>
      </w:hyperlink>
    </w:p>
    <w:p w:rsidR="004E3429" w:rsidRPr="00C20412" w:rsidRDefault="004E3429" w:rsidP="00C20412">
      <w:pPr>
        <w:pStyle w:val="Odstavekseznama"/>
        <w:numPr>
          <w:ilvl w:val="0"/>
          <w:numId w:val="1"/>
        </w:numPr>
        <w:jc w:val="both"/>
        <w:rPr>
          <w:rFonts w:ascii="Arial" w:hAnsi="Arial" w:cs="Arial"/>
          <w:sz w:val="20"/>
          <w:szCs w:val="20"/>
        </w:rPr>
      </w:pPr>
      <w:r w:rsidRPr="00C20412">
        <w:rPr>
          <w:rFonts w:ascii="Arial" w:hAnsi="Arial" w:cs="Arial"/>
          <w:sz w:val="20"/>
          <w:szCs w:val="20"/>
        </w:rPr>
        <w:t>Spletno mesto okvira za spremljanje iz osmega okoljskega akcijskega programa:</w:t>
      </w:r>
    </w:p>
    <w:p w:rsidR="004E3429" w:rsidRPr="00C20412" w:rsidRDefault="004E3429" w:rsidP="00C20412">
      <w:pPr>
        <w:pStyle w:val="Odstavekseznama"/>
        <w:numPr>
          <w:ilvl w:val="0"/>
          <w:numId w:val="1"/>
        </w:numPr>
        <w:jc w:val="both"/>
        <w:rPr>
          <w:rFonts w:ascii="Arial" w:hAnsi="Arial" w:cs="Arial"/>
          <w:sz w:val="20"/>
          <w:szCs w:val="20"/>
        </w:rPr>
      </w:pPr>
      <w:hyperlink r:id="rId8" w:history="1">
        <w:r w:rsidRPr="00C20412">
          <w:rPr>
            <w:rStyle w:val="Hiperpovezava"/>
            <w:rFonts w:ascii="Arial" w:hAnsi="Arial" w:cs="Arial"/>
            <w:sz w:val="20"/>
            <w:szCs w:val="20"/>
          </w:rPr>
          <w:t>https://environment.ec.europa.eu/strategy/environment-action-programme-2030_sl</w:t>
        </w:r>
      </w:hyperlink>
    </w:p>
    <w:p w:rsidR="004E3429" w:rsidRPr="00C20412" w:rsidRDefault="004E3429" w:rsidP="00C20412">
      <w:pPr>
        <w:spacing w:after="0"/>
        <w:jc w:val="both"/>
        <w:rPr>
          <w:rFonts w:ascii="Arial" w:hAnsi="Arial" w:cs="Arial"/>
          <w:sz w:val="20"/>
          <w:szCs w:val="20"/>
        </w:rPr>
      </w:pPr>
      <w:r w:rsidRPr="00C20412">
        <w:rPr>
          <w:rFonts w:ascii="Arial" w:hAnsi="Arial" w:cs="Arial"/>
          <w:sz w:val="20"/>
          <w:szCs w:val="20"/>
        </w:rPr>
        <w:t>Pripravila:</w:t>
      </w:r>
    </w:p>
    <w:p w:rsidR="004E3429" w:rsidRPr="00C20412" w:rsidRDefault="004E3429" w:rsidP="00C20412">
      <w:pPr>
        <w:spacing w:after="0"/>
        <w:jc w:val="both"/>
        <w:rPr>
          <w:rFonts w:ascii="Arial" w:hAnsi="Arial" w:cs="Arial"/>
          <w:sz w:val="20"/>
          <w:szCs w:val="20"/>
        </w:rPr>
      </w:pPr>
      <w:r w:rsidRPr="00C20412">
        <w:rPr>
          <w:rFonts w:ascii="Arial" w:hAnsi="Arial" w:cs="Arial"/>
          <w:sz w:val="20"/>
          <w:szCs w:val="20"/>
        </w:rPr>
        <w:t>Darja Kocbek</w:t>
      </w:r>
    </w:p>
    <w:p w:rsidR="004E583F" w:rsidRDefault="004E583F" w:rsidP="00C20412">
      <w:pPr>
        <w:spacing w:after="0"/>
      </w:pPr>
    </w:p>
    <w:sectPr w:rsidR="004E583F" w:rsidSect="00CA0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57C3C"/>
    <w:multiLevelType w:val="hybridMultilevel"/>
    <w:tmpl w:val="9C8402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4974"/>
    <w:rsid w:val="004E3429"/>
    <w:rsid w:val="004E583F"/>
    <w:rsid w:val="00575439"/>
    <w:rsid w:val="006F0698"/>
    <w:rsid w:val="00C20412"/>
    <w:rsid w:val="00CA04AC"/>
    <w:rsid w:val="00DF497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4AC"/>
  </w:style>
  <w:style w:type="paragraph" w:styleId="Naslov2">
    <w:name w:val="heading 2"/>
    <w:basedOn w:val="Navaden"/>
    <w:link w:val="Naslov2Znak"/>
    <w:uiPriority w:val="9"/>
    <w:qFormat/>
    <w:rsid w:val="0057543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F4974"/>
    <w:rPr>
      <w:b/>
      <w:bCs/>
    </w:rPr>
  </w:style>
  <w:style w:type="paragraph" w:styleId="Navadensplet">
    <w:name w:val="Normal (Web)"/>
    <w:basedOn w:val="Navaden"/>
    <w:uiPriority w:val="99"/>
    <w:semiHidden/>
    <w:unhideWhenUsed/>
    <w:rsid w:val="004E583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E583F"/>
    <w:rPr>
      <w:color w:val="0000FF"/>
      <w:u w:val="single"/>
    </w:rPr>
  </w:style>
  <w:style w:type="paragraph" w:styleId="Odstavekseznama">
    <w:name w:val="List Paragraph"/>
    <w:basedOn w:val="Navaden"/>
    <w:uiPriority w:val="34"/>
    <w:qFormat/>
    <w:rsid w:val="00C20412"/>
    <w:pPr>
      <w:ind w:left="720"/>
      <w:contextualSpacing/>
    </w:pPr>
  </w:style>
  <w:style w:type="character" w:customStyle="1" w:styleId="Naslov2Znak">
    <w:name w:val="Naslov 2 Znak"/>
    <w:basedOn w:val="Privzetapisavaodstavka"/>
    <w:link w:val="Naslov2"/>
    <w:uiPriority w:val="9"/>
    <w:rsid w:val="0057543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7543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5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94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strategy/environment-action-programme-2030_sl" TargetMode="External"/><Relationship Id="rId3" Type="http://schemas.openxmlformats.org/officeDocument/2006/relationships/settings" Target="settings.xml"/><Relationship Id="rId7" Type="http://schemas.openxmlformats.org/officeDocument/2006/relationships/hyperlink" Target="https://eur-lex.europa.eu/legal-content/SL/TXT/HTML/?uri=CELEX:32022D0591&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52022DC0357&amp;from=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6</cp:revision>
  <dcterms:created xsi:type="dcterms:W3CDTF">2022-08-23T14:42:00Z</dcterms:created>
  <dcterms:modified xsi:type="dcterms:W3CDTF">2022-08-23T14:57:00Z</dcterms:modified>
</cp:coreProperties>
</file>