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8C" w:rsidRPr="00467345" w:rsidRDefault="00CA4D8C" w:rsidP="00CA4D8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A4D8C" w:rsidRPr="00301C78" w:rsidRDefault="00CA4D8C" w:rsidP="00CA4D8C">
      <w:pPr>
        <w:pStyle w:val="Naslov2"/>
        <w:tabs>
          <w:tab w:val="left" w:pos="3120"/>
        </w:tabs>
        <w:spacing w:before="0"/>
        <w:jc w:val="center"/>
        <w:rPr>
          <w:sz w:val="22"/>
        </w:rPr>
      </w:pPr>
      <w:r w:rsidRPr="00083714">
        <w:rPr>
          <w:sz w:val="22"/>
        </w:rPr>
        <w:t>Slovensko gospodarsko in raziskovalno združenje, Bruselj</w:t>
      </w:r>
    </w:p>
    <w:p w:rsidR="00CA4D8C" w:rsidRPr="00083714" w:rsidRDefault="00CA4D8C" w:rsidP="00CA4D8C">
      <w:pPr>
        <w:pBdr>
          <w:bottom w:val="single" w:sz="6" w:space="1" w:color="auto"/>
        </w:pBdr>
        <w:tabs>
          <w:tab w:val="left" w:pos="3120"/>
        </w:tabs>
        <w:spacing w:before="240"/>
        <w:rPr>
          <w:sz w:val="16"/>
          <w:szCs w:val="16"/>
        </w:rPr>
      </w:pPr>
    </w:p>
    <w:p w:rsidR="00CA4D8C" w:rsidRDefault="00CA4D8C" w:rsidP="00CA4D8C">
      <w:pPr>
        <w:tabs>
          <w:tab w:val="left" w:pos="3120"/>
        </w:tabs>
        <w:spacing w:before="240"/>
        <w:jc w:val="center"/>
        <w:rPr>
          <w:b/>
        </w:rPr>
      </w:pPr>
      <w:r>
        <w:rPr>
          <w:b/>
        </w:rPr>
        <w:t xml:space="preserve">Občasna informacija članom 128 </w:t>
      </w:r>
      <w:r w:rsidRPr="00083714">
        <w:rPr>
          <w:b/>
        </w:rPr>
        <w:t>– 20</w:t>
      </w:r>
      <w:r>
        <w:rPr>
          <w:b/>
        </w:rPr>
        <w:t>23</w:t>
      </w:r>
    </w:p>
    <w:p w:rsidR="00CA4D8C" w:rsidRDefault="00CA4D8C" w:rsidP="00CA4D8C">
      <w:pPr>
        <w:tabs>
          <w:tab w:val="left" w:pos="3120"/>
        </w:tabs>
        <w:spacing w:before="240"/>
        <w:jc w:val="center"/>
        <w:rPr>
          <w:b/>
        </w:rPr>
      </w:pPr>
      <w:r>
        <w:rPr>
          <w:b/>
        </w:rPr>
        <w:t xml:space="preserve">28. avgust </w:t>
      </w:r>
      <w:r w:rsidRPr="00083714">
        <w:rPr>
          <w:b/>
        </w:rPr>
        <w:t xml:space="preserve"> 20</w:t>
      </w:r>
      <w:r>
        <w:rPr>
          <w:b/>
        </w:rPr>
        <w:t>23</w:t>
      </w:r>
    </w:p>
    <w:p w:rsidR="00CA4D8C" w:rsidRDefault="00CA4D8C" w:rsidP="00CA4D8C">
      <w:pPr>
        <w:jc w:val="center"/>
        <w:rPr>
          <w:rFonts w:ascii="Arial" w:hAnsi="Arial" w:cs="Arial"/>
          <w:b/>
          <w:i/>
        </w:rPr>
      </w:pPr>
      <w:r>
        <w:rPr>
          <w:rFonts w:ascii="Arial" w:hAnsi="Arial"/>
          <w:b/>
          <w:color w:val="993300"/>
          <w:sz w:val="32"/>
          <w:szCs w:val="32"/>
        </w:rPr>
        <w:t xml:space="preserve">Evropska komisija je sprejela evropske standarde poročanja o </w:t>
      </w:r>
      <w:proofErr w:type="spellStart"/>
      <w:r>
        <w:rPr>
          <w:rFonts w:ascii="Arial" w:hAnsi="Arial"/>
          <w:b/>
          <w:color w:val="993300"/>
          <w:sz w:val="32"/>
          <w:szCs w:val="32"/>
        </w:rPr>
        <w:t>trajnostnosti</w:t>
      </w:r>
      <w:proofErr w:type="spellEnd"/>
      <w:r>
        <w:rPr>
          <w:rFonts w:ascii="Arial" w:hAnsi="Arial"/>
          <w:b/>
          <w:color w:val="993300"/>
          <w:sz w:val="32"/>
          <w:szCs w:val="32"/>
        </w:rPr>
        <w:t xml:space="preserve"> (ESRS)</w:t>
      </w:r>
    </w:p>
    <w:p w:rsidR="00FE361E" w:rsidRPr="00C33D25" w:rsidRDefault="00FE361E" w:rsidP="00C33D25">
      <w:pPr>
        <w:jc w:val="both"/>
        <w:rPr>
          <w:rFonts w:ascii="Arial" w:hAnsi="Arial" w:cs="Arial"/>
          <w:b/>
          <w:i/>
        </w:rPr>
      </w:pPr>
      <w:r w:rsidRPr="00C33D25">
        <w:rPr>
          <w:rFonts w:ascii="Arial" w:hAnsi="Arial" w:cs="Arial"/>
          <w:b/>
          <w:i/>
        </w:rPr>
        <w:t xml:space="preserve">Evropska komisija je sprejela evropske standarde poročanja o </w:t>
      </w:r>
      <w:proofErr w:type="spellStart"/>
      <w:r w:rsidRPr="00C33D25">
        <w:rPr>
          <w:rFonts w:ascii="Arial" w:hAnsi="Arial" w:cs="Arial"/>
          <w:b/>
          <w:i/>
        </w:rPr>
        <w:t>trajnostnosti</w:t>
      </w:r>
      <w:proofErr w:type="spellEnd"/>
      <w:r w:rsidRPr="00C33D25">
        <w:rPr>
          <w:rFonts w:ascii="Arial" w:hAnsi="Arial" w:cs="Arial"/>
          <w:b/>
          <w:i/>
        </w:rPr>
        <w:t xml:space="preserve"> (ESRS), ki se uporabljajo za podjetja, za katera velja direktiva o poročanju podjetij o </w:t>
      </w:r>
      <w:proofErr w:type="spellStart"/>
      <w:r w:rsidRPr="00C33D25">
        <w:rPr>
          <w:rFonts w:ascii="Arial" w:hAnsi="Arial" w:cs="Arial"/>
          <w:b/>
          <w:i/>
        </w:rPr>
        <w:t>trajnostnosti</w:t>
      </w:r>
      <w:proofErr w:type="spellEnd"/>
      <w:r w:rsidRPr="00C33D25">
        <w:rPr>
          <w:rFonts w:ascii="Arial" w:hAnsi="Arial" w:cs="Arial"/>
          <w:b/>
          <w:i/>
        </w:rPr>
        <w:t>. Zajemajo celoten spekter okoljskih, socialnih in upravljavskih vprašanj, vključno s podnebnimi spremembami, biotsko raznovrstnostjo in človekovimi pravicami. Vlagateljem zagotavljajo informacije o trajnostnih učinkih podjetij, v katere vlagajo. Zahteve glede poročanja se bodo postopoma uvajale za različna podjetja.</w:t>
      </w:r>
    </w:p>
    <w:p w:rsidR="00FE361E" w:rsidRPr="00C33D25" w:rsidRDefault="00FE361E" w:rsidP="00C33D25">
      <w:pPr>
        <w:jc w:val="both"/>
        <w:rPr>
          <w:rFonts w:ascii="Arial" w:hAnsi="Arial" w:cs="Arial"/>
          <w:sz w:val="20"/>
          <w:szCs w:val="20"/>
        </w:rPr>
      </w:pPr>
      <w:r w:rsidRPr="00C33D25">
        <w:rPr>
          <w:rFonts w:ascii="Arial" w:hAnsi="Arial" w:cs="Arial"/>
          <w:sz w:val="20"/>
          <w:szCs w:val="20"/>
        </w:rPr>
        <w:t> </w:t>
      </w:r>
      <w:r w:rsidR="008D5D66" w:rsidRPr="00C33D25">
        <w:rPr>
          <w:rFonts w:ascii="Arial" w:hAnsi="Arial" w:cs="Arial"/>
          <w:sz w:val="20"/>
          <w:szCs w:val="20"/>
        </w:rPr>
        <w:t>Evropska komisija pričakuje, da bodo evropski standardi ESRS pomagali podjetjem srednjeročno in dolgoročno zmanjšati stroške poročanja, saj se bodo izognila uporabi več prostovoljnih standardov. Standardi ESRS upoštevajo »dvojni vidik pomembnosti«, kar pomeni, da morajo podjetja poročati o svojih vplivih na ljudi in okolje ter o tem, kako družbena in okoljska vprašanja ustvarjajo finančna tveganja in priložnosti za podjetje.</w:t>
      </w:r>
    </w:p>
    <w:p w:rsidR="008D5D66" w:rsidRPr="00CA4D8C" w:rsidRDefault="00205911" w:rsidP="00C33D25">
      <w:pPr>
        <w:jc w:val="both"/>
        <w:rPr>
          <w:rFonts w:ascii="Arial" w:hAnsi="Arial" w:cs="Arial"/>
          <w:b/>
          <w:sz w:val="20"/>
          <w:szCs w:val="20"/>
        </w:rPr>
      </w:pPr>
      <w:r w:rsidRPr="00CA4D8C">
        <w:rPr>
          <w:rFonts w:ascii="Arial" w:hAnsi="Arial" w:cs="Arial"/>
          <w:b/>
          <w:sz w:val="20"/>
          <w:szCs w:val="20"/>
        </w:rPr>
        <w:t>Tabela 1: Pregled standardov ESRS</w:t>
      </w:r>
    </w:p>
    <w:tbl>
      <w:tblPr>
        <w:tblStyle w:val="Tabela-mrea"/>
        <w:tblW w:w="0" w:type="auto"/>
        <w:tblLook w:val="04A0"/>
      </w:tblPr>
      <w:tblGrid>
        <w:gridCol w:w="3070"/>
        <w:gridCol w:w="3071"/>
        <w:gridCol w:w="3071"/>
      </w:tblGrid>
      <w:tr w:rsidR="00205911" w:rsidRPr="00C33D25" w:rsidTr="00205911">
        <w:tc>
          <w:tcPr>
            <w:tcW w:w="3070" w:type="dxa"/>
          </w:tcPr>
          <w:p w:rsidR="00205911" w:rsidRPr="00CA4D8C" w:rsidRDefault="00205911" w:rsidP="00C33D25">
            <w:pPr>
              <w:jc w:val="both"/>
              <w:rPr>
                <w:rFonts w:ascii="Arial" w:hAnsi="Arial" w:cs="Arial"/>
                <w:b/>
                <w:sz w:val="20"/>
                <w:szCs w:val="20"/>
              </w:rPr>
            </w:pPr>
            <w:r w:rsidRPr="00CA4D8C">
              <w:rPr>
                <w:rFonts w:ascii="Arial" w:hAnsi="Arial" w:cs="Arial"/>
                <w:b/>
                <w:sz w:val="20"/>
                <w:szCs w:val="20"/>
              </w:rPr>
              <w:t>Sektor</w:t>
            </w:r>
          </w:p>
        </w:tc>
        <w:tc>
          <w:tcPr>
            <w:tcW w:w="3071" w:type="dxa"/>
          </w:tcPr>
          <w:p w:rsidR="00205911" w:rsidRPr="00CA4D8C" w:rsidRDefault="00205911" w:rsidP="00C33D25">
            <w:pPr>
              <w:jc w:val="both"/>
              <w:rPr>
                <w:rFonts w:ascii="Arial" w:hAnsi="Arial" w:cs="Arial"/>
                <w:b/>
                <w:sz w:val="20"/>
                <w:szCs w:val="20"/>
              </w:rPr>
            </w:pPr>
            <w:r w:rsidRPr="00CA4D8C">
              <w:rPr>
                <w:rFonts w:ascii="Arial" w:hAnsi="Arial" w:cs="Arial"/>
                <w:b/>
                <w:sz w:val="20"/>
                <w:szCs w:val="20"/>
              </w:rPr>
              <w:t>Številka</w:t>
            </w:r>
          </w:p>
        </w:tc>
        <w:tc>
          <w:tcPr>
            <w:tcW w:w="3071" w:type="dxa"/>
          </w:tcPr>
          <w:p w:rsidR="00205911" w:rsidRPr="00CA4D8C" w:rsidRDefault="00205911" w:rsidP="00C33D25">
            <w:pPr>
              <w:jc w:val="both"/>
              <w:rPr>
                <w:rFonts w:ascii="Arial" w:hAnsi="Arial" w:cs="Arial"/>
                <w:b/>
                <w:sz w:val="20"/>
                <w:szCs w:val="20"/>
              </w:rPr>
            </w:pPr>
            <w:r w:rsidRPr="00CA4D8C">
              <w:rPr>
                <w:rFonts w:ascii="Arial" w:hAnsi="Arial" w:cs="Arial"/>
                <w:b/>
                <w:sz w:val="20"/>
                <w:szCs w:val="20"/>
              </w:rPr>
              <w:t>Tema</w:t>
            </w:r>
          </w:p>
        </w:tc>
      </w:tr>
      <w:tr w:rsidR="00205911" w:rsidRPr="00C33D25" w:rsidTr="00205911">
        <w:tc>
          <w:tcPr>
            <w:tcW w:w="3070" w:type="dxa"/>
          </w:tcPr>
          <w:p w:rsidR="00205911" w:rsidRPr="00C33D25" w:rsidRDefault="00205911" w:rsidP="00C33D25">
            <w:pPr>
              <w:jc w:val="both"/>
              <w:rPr>
                <w:rFonts w:ascii="Arial" w:hAnsi="Arial" w:cs="Arial"/>
                <w:sz w:val="20"/>
                <w:szCs w:val="20"/>
              </w:rPr>
            </w:pPr>
            <w:proofErr w:type="spellStart"/>
            <w:r w:rsidRPr="00C33D25">
              <w:rPr>
                <w:rFonts w:ascii="Arial" w:hAnsi="Arial" w:cs="Arial"/>
                <w:sz w:val="20"/>
                <w:szCs w:val="20"/>
              </w:rPr>
              <w:t>Medsektorski</w:t>
            </w:r>
            <w:proofErr w:type="spellEnd"/>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1</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Splošne zahteve</w:t>
            </w:r>
          </w:p>
        </w:tc>
      </w:tr>
      <w:tr w:rsidR="00205911" w:rsidRPr="00C33D25" w:rsidTr="00205911">
        <w:tc>
          <w:tcPr>
            <w:tcW w:w="3070" w:type="dxa"/>
          </w:tcPr>
          <w:p w:rsidR="00205911" w:rsidRPr="00C33D25" w:rsidRDefault="00205911" w:rsidP="00C33D25">
            <w:pPr>
              <w:jc w:val="both"/>
              <w:rPr>
                <w:rFonts w:ascii="Arial" w:hAnsi="Arial" w:cs="Arial"/>
                <w:sz w:val="20"/>
                <w:szCs w:val="20"/>
              </w:rPr>
            </w:pPr>
            <w:proofErr w:type="spellStart"/>
            <w:r w:rsidRPr="00C33D25">
              <w:rPr>
                <w:rFonts w:ascii="Arial" w:hAnsi="Arial" w:cs="Arial"/>
                <w:sz w:val="20"/>
                <w:szCs w:val="20"/>
              </w:rPr>
              <w:t>Medsektorski</w:t>
            </w:r>
            <w:proofErr w:type="spellEnd"/>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2</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Splošna razkritja</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Okolje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E1</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Podnebje</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Okolje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E2</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Onesnaževanje</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Okolje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E3</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Vodni in morski viri</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Okolje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E4</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Biotska raznovrstnost in ekosistemi</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Okolje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E5</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Raba virov in krožno gospodarstvo</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Socialno področje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S1</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Lastna delovna sila</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Socialno področje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S2</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Delavci v vrednost ni verigi</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Socialno področje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S3</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Prizadete skupnosti</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Socialno področje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S4</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Potrošniki in končni uporabniki</w:t>
            </w:r>
          </w:p>
        </w:tc>
      </w:tr>
      <w:tr w:rsidR="00205911" w:rsidRPr="00C33D25" w:rsidTr="00205911">
        <w:tc>
          <w:tcPr>
            <w:tcW w:w="3070"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Vodenje</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ESRS G1</w:t>
            </w:r>
          </w:p>
        </w:tc>
        <w:tc>
          <w:tcPr>
            <w:tcW w:w="3071" w:type="dxa"/>
          </w:tcPr>
          <w:p w:rsidR="00205911" w:rsidRPr="00C33D25" w:rsidRDefault="00205911" w:rsidP="00C33D25">
            <w:pPr>
              <w:jc w:val="both"/>
              <w:rPr>
                <w:rFonts w:ascii="Arial" w:hAnsi="Arial" w:cs="Arial"/>
                <w:sz w:val="20"/>
                <w:szCs w:val="20"/>
              </w:rPr>
            </w:pPr>
            <w:r w:rsidRPr="00C33D25">
              <w:rPr>
                <w:rFonts w:ascii="Arial" w:hAnsi="Arial" w:cs="Arial"/>
                <w:sz w:val="20"/>
                <w:szCs w:val="20"/>
              </w:rPr>
              <w:t>Poslovno vedenje</w:t>
            </w:r>
          </w:p>
        </w:tc>
      </w:tr>
    </w:tbl>
    <w:p w:rsidR="00205911" w:rsidRPr="00C33D25" w:rsidRDefault="00205911" w:rsidP="00C33D25">
      <w:pPr>
        <w:jc w:val="both"/>
        <w:rPr>
          <w:rFonts w:ascii="Arial" w:hAnsi="Arial" w:cs="Arial"/>
          <w:sz w:val="20"/>
          <w:szCs w:val="20"/>
        </w:rPr>
      </w:pPr>
      <w:r w:rsidRPr="00C33D25">
        <w:rPr>
          <w:rFonts w:ascii="Arial" w:hAnsi="Arial" w:cs="Arial"/>
          <w:sz w:val="20"/>
          <w:szCs w:val="20"/>
        </w:rPr>
        <w:t>Vir: Evropska komisija</w:t>
      </w:r>
    </w:p>
    <w:p w:rsidR="00CA4D8C" w:rsidRDefault="00CA4D8C" w:rsidP="00C33D25">
      <w:pPr>
        <w:jc w:val="both"/>
        <w:rPr>
          <w:rFonts w:ascii="Arial" w:hAnsi="Arial" w:cs="Arial"/>
          <w:b/>
          <w:sz w:val="20"/>
          <w:szCs w:val="20"/>
        </w:rPr>
      </w:pPr>
    </w:p>
    <w:p w:rsidR="00CA4D8C" w:rsidRDefault="00CA4D8C" w:rsidP="00C33D25">
      <w:pPr>
        <w:jc w:val="both"/>
        <w:rPr>
          <w:rFonts w:ascii="Arial" w:hAnsi="Arial" w:cs="Arial"/>
          <w:b/>
          <w:sz w:val="20"/>
          <w:szCs w:val="20"/>
        </w:rPr>
      </w:pPr>
    </w:p>
    <w:p w:rsidR="009D2F37" w:rsidRPr="00CA4D8C" w:rsidRDefault="00205911" w:rsidP="00C33D25">
      <w:pPr>
        <w:jc w:val="both"/>
        <w:rPr>
          <w:rFonts w:ascii="Arial" w:hAnsi="Arial" w:cs="Arial"/>
          <w:b/>
          <w:sz w:val="20"/>
          <w:szCs w:val="20"/>
        </w:rPr>
      </w:pPr>
      <w:r w:rsidRPr="00CA4D8C">
        <w:rPr>
          <w:rFonts w:ascii="Arial" w:hAnsi="Arial" w:cs="Arial"/>
          <w:b/>
          <w:sz w:val="20"/>
          <w:szCs w:val="20"/>
        </w:rPr>
        <w:lastRenderedPageBreak/>
        <w:t>Koristne informacije:</w:t>
      </w:r>
    </w:p>
    <w:p w:rsidR="00205911" w:rsidRPr="00CA4D8C" w:rsidRDefault="00205911" w:rsidP="00CA4D8C">
      <w:pPr>
        <w:pStyle w:val="Odstavekseznama"/>
        <w:numPr>
          <w:ilvl w:val="0"/>
          <w:numId w:val="1"/>
        </w:numPr>
        <w:jc w:val="both"/>
        <w:rPr>
          <w:rFonts w:ascii="Arial" w:hAnsi="Arial" w:cs="Arial"/>
          <w:sz w:val="20"/>
          <w:szCs w:val="20"/>
        </w:rPr>
      </w:pPr>
      <w:r w:rsidRPr="00CA4D8C">
        <w:rPr>
          <w:rFonts w:ascii="Arial" w:hAnsi="Arial" w:cs="Arial"/>
          <w:sz w:val="20"/>
          <w:szCs w:val="20"/>
        </w:rPr>
        <w:t>Standardi:</w:t>
      </w:r>
    </w:p>
    <w:p w:rsidR="00205911" w:rsidRPr="00CA4D8C" w:rsidRDefault="00205911" w:rsidP="00CA4D8C">
      <w:pPr>
        <w:pStyle w:val="Odstavekseznama"/>
        <w:numPr>
          <w:ilvl w:val="0"/>
          <w:numId w:val="1"/>
        </w:numPr>
        <w:jc w:val="both"/>
        <w:rPr>
          <w:rFonts w:ascii="Arial" w:hAnsi="Arial" w:cs="Arial"/>
          <w:sz w:val="20"/>
          <w:szCs w:val="20"/>
        </w:rPr>
      </w:pPr>
      <w:hyperlink r:id="rId6" w:history="1">
        <w:r w:rsidRPr="00CA4D8C">
          <w:rPr>
            <w:rStyle w:val="Hiperpovezava"/>
            <w:rFonts w:ascii="Arial" w:hAnsi="Arial" w:cs="Arial"/>
            <w:sz w:val="20"/>
            <w:szCs w:val="20"/>
          </w:rPr>
          <w:t>https://finance.ec.europa.eu/regulation-and-supervision/financial-services-legislation/implementing-and-delegated-acts/corporate-sustainability-reporting-directive_sl</w:t>
        </w:r>
      </w:hyperlink>
    </w:p>
    <w:p w:rsidR="00205911" w:rsidRPr="00C33D25" w:rsidRDefault="00205911" w:rsidP="00CA4D8C">
      <w:pPr>
        <w:spacing w:after="0"/>
        <w:jc w:val="both"/>
        <w:rPr>
          <w:rFonts w:ascii="Arial" w:hAnsi="Arial" w:cs="Arial"/>
          <w:sz w:val="20"/>
          <w:szCs w:val="20"/>
        </w:rPr>
      </w:pPr>
      <w:r w:rsidRPr="00C33D25">
        <w:rPr>
          <w:rFonts w:ascii="Arial" w:hAnsi="Arial" w:cs="Arial"/>
          <w:sz w:val="20"/>
          <w:szCs w:val="20"/>
        </w:rPr>
        <w:t>Pripravila:</w:t>
      </w:r>
    </w:p>
    <w:p w:rsidR="00205911" w:rsidRPr="00C33D25" w:rsidRDefault="00205911" w:rsidP="00CA4D8C">
      <w:pPr>
        <w:spacing w:after="0"/>
        <w:jc w:val="both"/>
        <w:rPr>
          <w:rFonts w:ascii="Arial" w:hAnsi="Arial" w:cs="Arial"/>
          <w:sz w:val="20"/>
          <w:szCs w:val="20"/>
        </w:rPr>
      </w:pPr>
      <w:r w:rsidRPr="00C33D25">
        <w:rPr>
          <w:rFonts w:ascii="Arial" w:hAnsi="Arial" w:cs="Arial"/>
          <w:sz w:val="20"/>
          <w:szCs w:val="20"/>
        </w:rPr>
        <w:t>Darja Kocbek</w:t>
      </w:r>
    </w:p>
    <w:sectPr w:rsidR="00205911" w:rsidRPr="00C33D25" w:rsidSect="009D2F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C6DCE"/>
    <w:multiLevelType w:val="hybridMultilevel"/>
    <w:tmpl w:val="67B278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361E"/>
    <w:rsid w:val="00205911"/>
    <w:rsid w:val="003B5CB2"/>
    <w:rsid w:val="008D5D66"/>
    <w:rsid w:val="009D2F37"/>
    <w:rsid w:val="00C33D25"/>
    <w:rsid w:val="00CA4D8C"/>
    <w:rsid w:val="00FE361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2F37"/>
  </w:style>
  <w:style w:type="paragraph" w:styleId="Naslov2">
    <w:name w:val="heading 2"/>
    <w:basedOn w:val="Navaden"/>
    <w:next w:val="Navaden"/>
    <w:link w:val="Naslov2Znak"/>
    <w:uiPriority w:val="9"/>
    <w:semiHidden/>
    <w:unhideWhenUsed/>
    <w:qFormat/>
    <w:rsid w:val="00CA4D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824576149msonormal">
    <w:name w:val="yiv3824576149msonormal"/>
    <w:basedOn w:val="Navaden"/>
    <w:rsid w:val="00FE361E"/>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2059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205911"/>
    <w:rPr>
      <w:color w:val="0000FF" w:themeColor="hyperlink"/>
      <w:u w:val="single"/>
    </w:rPr>
  </w:style>
  <w:style w:type="paragraph" w:styleId="Odstavekseznama">
    <w:name w:val="List Paragraph"/>
    <w:basedOn w:val="Navaden"/>
    <w:uiPriority w:val="34"/>
    <w:qFormat/>
    <w:rsid w:val="00CA4D8C"/>
    <w:pPr>
      <w:ind w:left="720"/>
      <w:contextualSpacing/>
    </w:pPr>
  </w:style>
  <w:style w:type="character" w:customStyle="1" w:styleId="Naslov2Znak">
    <w:name w:val="Naslov 2 Znak"/>
    <w:basedOn w:val="Privzetapisavaodstavka"/>
    <w:link w:val="Naslov2"/>
    <w:uiPriority w:val="9"/>
    <w:semiHidden/>
    <w:rsid w:val="00CA4D8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A4D8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4D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3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ec.europa.eu/regulation-and-supervision/financial-services-legislation/implementing-and-delegated-acts/corporate-sustainability-reporting-directive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298</Words>
  <Characters>1826</Characters>
  <Application>Microsoft Office Word</Application>
  <DocSecurity>0</DocSecurity>
  <Lines>27</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2023-08-21T17:28:00Z</dcterms:created>
  <dcterms:modified xsi:type="dcterms:W3CDTF">2023-08-21T17:53:00Z</dcterms:modified>
</cp:coreProperties>
</file>