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B1" w:rsidRPr="00467345" w:rsidRDefault="008E26B1" w:rsidP="008E26B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6B1" w:rsidRPr="00083714" w:rsidRDefault="008E26B1" w:rsidP="008E26B1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E26B1" w:rsidRPr="00083714" w:rsidRDefault="008E26B1" w:rsidP="008E26B1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8E26B1" w:rsidRDefault="008E26B1" w:rsidP="008E26B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126 </w:t>
      </w:r>
      <w:r w:rsidRPr="00083714">
        <w:rPr>
          <w:b/>
        </w:rPr>
        <w:t>– 20</w:t>
      </w:r>
      <w:r>
        <w:rPr>
          <w:b/>
        </w:rPr>
        <w:t>21</w:t>
      </w:r>
    </w:p>
    <w:p w:rsidR="008E26B1" w:rsidRDefault="008E26B1" w:rsidP="008E26B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30. avgust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8E26B1" w:rsidRPr="00050C1F" w:rsidRDefault="008E26B1" w:rsidP="008E26B1">
      <w:pPr>
        <w:tabs>
          <w:tab w:val="left" w:pos="3120"/>
        </w:tabs>
        <w:spacing w:before="240"/>
        <w:jc w:val="center"/>
        <w:rPr>
          <w:b/>
        </w:rPr>
      </w:pPr>
    </w:p>
    <w:p w:rsidR="008E26B1" w:rsidRDefault="008E26B1" w:rsidP="008E26B1">
      <w:pPr>
        <w:spacing w:after="240"/>
        <w:jc w:val="center"/>
        <w:rPr>
          <w:rFonts w:ascii="Arial" w:hAnsi="Arial"/>
          <w:b/>
          <w:i/>
          <w:sz w:val="22"/>
          <w:szCs w:val="22"/>
        </w:rPr>
      </w:pPr>
      <w:r>
        <w:rPr>
          <w:b/>
          <w:color w:val="993300"/>
          <w:sz w:val="32"/>
          <w:szCs w:val="32"/>
        </w:rPr>
        <w:t>Evropska komisija je razširila uporabo uredbe o splošnih skupinskih izjemah</w:t>
      </w:r>
    </w:p>
    <w:p w:rsidR="00712FF6" w:rsidRPr="00A259FD" w:rsidRDefault="00712FF6" w:rsidP="008E4FD6">
      <w:pPr>
        <w:spacing w:after="240"/>
        <w:jc w:val="both"/>
        <w:rPr>
          <w:rFonts w:ascii="Arial" w:hAnsi="Arial"/>
          <w:b/>
          <w:i/>
          <w:sz w:val="22"/>
          <w:szCs w:val="22"/>
        </w:rPr>
      </w:pPr>
      <w:r w:rsidRPr="00A259FD">
        <w:rPr>
          <w:rFonts w:ascii="Arial" w:hAnsi="Arial"/>
          <w:b/>
          <w:i/>
          <w:sz w:val="22"/>
          <w:szCs w:val="22"/>
        </w:rPr>
        <w:t xml:space="preserve">Evropska komisija je sprejela razširitev področja uporabe uredbe o splošnih skupinskih izjemah. Prenovljena pravila se nanašajo na pomoč za projekte, financirane prek nekaterih centralno upravljanih programov EU v okviru novega večletnega finančnega okvira, ter nekatere ukrepe državne pomoči v podporo zelenemu in digitalnemu prehodu. </w:t>
      </w:r>
      <w:r w:rsidR="005838C1" w:rsidRPr="00A259FD">
        <w:rPr>
          <w:rFonts w:ascii="Arial" w:hAnsi="Arial"/>
          <w:b/>
          <w:i/>
          <w:sz w:val="22"/>
          <w:szCs w:val="22"/>
        </w:rPr>
        <w:t xml:space="preserve">S spremembo uredbe o splošnih skupinskih izjemah lahko države članice te ukrepe zdaj izvajajo neposredno, ne da bi jih bilo treba priglasiti Evropski komisiji. Potrebno pa jo je obvestiti  naknadno. </w:t>
      </w:r>
      <w:r w:rsidRPr="00A259FD">
        <w:rPr>
          <w:rFonts w:ascii="Arial" w:hAnsi="Arial"/>
          <w:b/>
          <w:i/>
          <w:sz w:val="22"/>
          <w:szCs w:val="22"/>
        </w:rPr>
        <w:t>Člani lahko dobijo več informacij na SBRA.</w:t>
      </w:r>
    </w:p>
    <w:p w:rsidR="00712FF6" w:rsidRPr="00A259FD" w:rsidRDefault="00712FF6" w:rsidP="008E4FD6">
      <w:pPr>
        <w:spacing w:after="240"/>
        <w:jc w:val="both"/>
        <w:rPr>
          <w:rFonts w:ascii="Arial" w:hAnsi="Arial"/>
          <w:b/>
          <w:sz w:val="20"/>
          <w:szCs w:val="20"/>
        </w:rPr>
      </w:pPr>
      <w:r w:rsidRPr="00A259FD">
        <w:rPr>
          <w:rFonts w:ascii="Arial" w:hAnsi="Arial"/>
          <w:b/>
          <w:sz w:val="20"/>
          <w:szCs w:val="20"/>
        </w:rPr>
        <w:t>Pravila se nanašajo na nacionalna sredstva za naslednja področja:</w:t>
      </w:r>
    </w:p>
    <w:p w:rsidR="00712FF6" w:rsidRPr="00A259FD" w:rsidRDefault="00712FF6" w:rsidP="00A259FD">
      <w:pPr>
        <w:pStyle w:val="Odstavekseznama"/>
        <w:numPr>
          <w:ilvl w:val="0"/>
          <w:numId w:val="3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 xml:space="preserve">Financiranje in naložbe, ki jih podpira sklad </w:t>
      </w:r>
      <w:proofErr w:type="spellStart"/>
      <w:r w:rsidRPr="00A259FD">
        <w:rPr>
          <w:rFonts w:ascii="Arial" w:hAnsi="Arial"/>
          <w:sz w:val="20"/>
          <w:szCs w:val="20"/>
        </w:rPr>
        <w:t>InvestEU</w:t>
      </w:r>
      <w:proofErr w:type="spellEnd"/>
      <w:r w:rsidRPr="00A259FD">
        <w:rPr>
          <w:rFonts w:ascii="Arial" w:hAnsi="Arial"/>
          <w:sz w:val="20"/>
          <w:szCs w:val="20"/>
        </w:rPr>
        <w:t>.</w:t>
      </w:r>
    </w:p>
    <w:p w:rsidR="00712FF6" w:rsidRPr="00A259FD" w:rsidRDefault="00712FF6" w:rsidP="00A259FD">
      <w:pPr>
        <w:pStyle w:val="Odstavekseznama"/>
        <w:numPr>
          <w:ilvl w:val="0"/>
          <w:numId w:val="3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>Projekti na področju raziskav, razvoja in inovacij, ki so prejeli pečat odličnosti v okviru programa Obzorje Evropa, ter raziskovalni in razvojni projekti ali ukrepi povezovanja, ki jih Evropska komisija financira v okviru programa Obzorje 2020 ali programa Obzorje Evropa.</w:t>
      </w:r>
    </w:p>
    <w:p w:rsidR="00712FF6" w:rsidRPr="00A259FD" w:rsidRDefault="00712FF6" w:rsidP="00A259FD">
      <w:pPr>
        <w:pStyle w:val="Odstavekseznama"/>
        <w:numPr>
          <w:ilvl w:val="0"/>
          <w:numId w:val="3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 xml:space="preserve">Projekti evropskega teritorialnega sodelovanja, znani tudi kot </w:t>
      </w:r>
      <w:proofErr w:type="spellStart"/>
      <w:r w:rsidRPr="00A259FD">
        <w:rPr>
          <w:rFonts w:ascii="Arial" w:hAnsi="Arial"/>
          <w:sz w:val="20"/>
          <w:szCs w:val="20"/>
        </w:rPr>
        <w:t>Interreg</w:t>
      </w:r>
      <w:proofErr w:type="spellEnd"/>
      <w:r w:rsidRPr="00A259FD">
        <w:rPr>
          <w:rFonts w:ascii="Arial" w:hAnsi="Arial"/>
          <w:sz w:val="20"/>
          <w:szCs w:val="20"/>
        </w:rPr>
        <w:t>.</w:t>
      </w:r>
    </w:p>
    <w:p w:rsidR="00712FF6" w:rsidRPr="00A259FD" w:rsidRDefault="005838C1" w:rsidP="008E4FD6">
      <w:pPr>
        <w:spacing w:after="240"/>
        <w:jc w:val="both"/>
        <w:rPr>
          <w:rFonts w:ascii="Arial" w:hAnsi="Arial"/>
          <w:b/>
          <w:sz w:val="20"/>
          <w:szCs w:val="20"/>
        </w:rPr>
      </w:pPr>
      <w:r w:rsidRPr="00A259FD">
        <w:rPr>
          <w:rFonts w:ascii="Arial" w:hAnsi="Arial"/>
          <w:b/>
          <w:sz w:val="20"/>
          <w:szCs w:val="20"/>
        </w:rPr>
        <w:t>Vrste pomoči, za katere veljajo nova pravila, so:</w:t>
      </w:r>
    </w:p>
    <w:p w:rsidR="005838C1" w:rsidRPr="00A259FD" w:rsidRDefault="005838C1" w:rsidP="00A259FD">
      <w:pPr>
        <w:pStyle w:val="Odstavekseznama"/>
        <w:numPr>
          <w:ilvl w:val="0"/>
          <w:numId w:val="4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>Pomoč za projekte energijske učinkovitosti v stavbah.</w:t>
      </w:r>
    </w:p>
    <w:p w:rsidR="005838C1" w:rsidRPr="00A259FD" w:rsidRDefault="005838C1" w:rsidP="00A259FD">
      <w:pPr>
        <w:pStyle w:val="Odstavekseznama"/>
        <w:numPr>
          <w:ilvl w:val="0"/>
          <w:numId w:val="4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>Pomoč za vzpostavitev infrastrukture za polnjenje in oskrbo cestnih vozil z nizkimi izpusti.</w:t>
      </w:r>
    </w:p>
    <w:p w:rsidR="005838C1" w:rsidRPr="00A259FD" w:rsidRDefault="005838C1" w:rsidP="00A259FD">
      <w:pPr>
        <w:pStyle w:val="Odstavekseznama"/>
        <w:numPr>
          <w:ilvl w:val="0"/>
          <w:numId w:val="4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>Pomoč za fiksna širokopasovna omrežja, mobilna omrežja 4G in 5G, nekatere projekte na področju vseevropske infrastrukture za digitalno povezljivost ter nekatere bone.</w:t>
      </w:r>
    </w:p>
    <w:p w:rsidR="005838C1" w:rsidRPr="00A259FD" w:rsidRDefault="00336FE6" w:rsidP="008E4FD6">
      <w:pPr>
        <w:spacing w:after="240"/>
        <w:jc w:val="both"/>
        <w:rPr>
          <w:rFonts w:ascii="Arial" w:hAnsi="Arial"/>
          <w:b/>
          <w:sz w:val="20"/>
          <w:szCs w:val="20"/>
        </w:rPr>
      </w:pPr>
      <w:r w:rsidRPr="00A259FD">
        <w:rPr>
          <w:rFonts w:ascii="Arial" w:hAnsi="Arial"/>
          <w:b/>
          <w:sz w:val="20"/>
          <w:szCs w:val="20"/>
        </w:rPr>
        <w:t>Koristne informacije:</w:t>
      </w:r>
    </w:p>
    <w:p w:rsidR="00336FE6" w:rsidRPr="00A259FD" w:rsidRDefault="00336FE6" w:rsidP="00A259FD">
      <w:pPr>
        <w:pStyle w:val="Odstavekseznama"/>
        <w:numPr>
          <w:ilvl w:val="0"/>
          <w:numId w:val="5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>Nova uredba:</w:t>
      </w:r>
    </w:p>
    <w:p w:rsidR="00336FE6" w:rsidRPr="00A259FD" w:rsidRDefault="00336FE6" w:rsidP="00A259FD">
      <w:pPr>
        <w:pStyle w:val="Odstavekseznama"/>
        <w:numPr>
          <w:ilvl w:val="0"/>
          <w:numId w:val="5"/>
        </w:numPr>
        <w:spacing w:after="240"/>
        <w:jc w:val="both"/>
        <w:rPr>
          <w:rFonts w:ascii="Arial" w:hAnsi="Arial"/>
          <w:sz w:val="20"/>
          <w:szCs w:val="20"/>
        </w:rPr>
      </w:pPr>
      <w:hyperlink r:id="rId6" w:history="1">
        <w:r w:rsidRPr="00A259FD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https://eur-lex.europa.eu/legal-content/SL/TXT/?uri=uriserv%3AOJ.L_.2021.270.01.0039.01.SLV&amp;toc=OJ%3AL%3A2021%3A270%3ATOC</w:t>
        </w:r>
      </w:hyperlink>
    </w:p>
    <w:p w:rsidR="00336FE6" w:rsidRPr="00A259FD" w:rsidRDefault="00336FE6" w:rsidP="00A259FD">
      <w:pPr>
        <w:pStyle w:val="Odstavekseznama"/>
        <w:numPr>
          <w:ilvl w:val="0"/>
          <w:numId w:val="5"/>
        </w:numPr>
        <w:spacing w:after="240"/>
        <w:jc w:val="both"/>
        <w:rPr>
          <w:rFonts w:ascii="Arial" w:hAnsi="Arial"/>
          <w:sz w:val="20"/>
          <w:szCs w:val="20"/>
        </w:rPr>
      </w:pPr>
      <w:r w:rsidRPr="00A259FD">
        <w:rPr>
          <w:rFonts w:ascii="Arial" w:hAnsi="Arial"/>
          <w:sz w:val="20"/>
          <w:szCs w:val="20"/>
        </w:rPr>
        <w:t>Odgovori Evropske komisije na pogosta vprašanja:</w:t>
      </w:r>
    </w:p>
    <w:p w:rsidR="00336FE6" w:rsidRPr="00A259FD" w:rsidRDefault="00336FE6" w:rsidP="00A259FD">
      <w:pPr>
        <w:pStyle w:val="Odstavekseznama"/>
        <w:numPr>
          <w:ilvl w:val="0"/>
          <w:numId w:val="5"/>
        </w:numPr>
        <w:spacing w:after="240"/>
        <w:jc w:val="both"/>
        <w:rPr>
          <w:rFonts w:ascii="Arial" w:hAnsi="Arial"/>
          <w:sz w:val="20"/>
          <w:szCs w:val="20"/>
        </w:rPr>
      </w:pPr>
      <w:hyperlink r:id="rId7" w:history="1">
        <w:r w:rsidRPr="00A259FD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https://ec.europa.eu/commission/presscorner/detail/en/qanda_21_3805</w:t>
        </w:r>
      </w:hyperlink>
    </w:p>
    <w:p w:rsidR="00336FE6" w:rsidRPr="008E4FD6" w:rsidRDefault="00336FE6" w:rsidP="008E4FD6">
      <w:pPr>
        <w:jc w:val="both"/>
        <w:rPr>
          <w:rFonts w:ascii="Arial" w:hAnsi="Arial"/>
          <w:sz w:val="20"/>
          <w:szCs w:val="20"/>
        </w:rPr>
      </w:pPr>
      <w:r w:rsidRPr="008E4FD6">
        <w:rPr>
          <w:rFonts w:ascii="Arial" w:hAnsi="Arial"/>
          <w:sz w:val="20"/>
          <w:szCs w:val="20"/>
        </w:rPr>
        <w:t>Pripravila:</w:t>
      </w:r>
    </w:p>
    <w:p w:rsidR="00336FE6" w:rsidRPr="008E4FD6" w:rsidRDefault="00336FE6" w:rsidP="008E4FD6">
      <w:pPr>
        <w:jc w:val="both"/>
        <w:rPr>
          <w:rFonts w:ascii="Arial" w:hAnsi="Arial"/>
          <w:sz w:val="20"/>
          <w:szCs w:val="20"/>
        </w:rPr>
      </w:pPr>
      <w:r w:rsidRPr="008E4FD6">
        <w:rPr>
          <w:rFonts w:ascii="Arial" w:hAnsi="Arial"/>
          <w:sz w:val="20"/>
          <w:szCs w:val="20"/>
        </w:rPr>
        <w:t>Darja Kocbek</w:t>
      </w:r>
    </w:p>
    <w:p w:rsidR="005838C1" w:rsidRPr="00712FF6" w:rsidRDefault="005838C1" w:rsidP="008E4FD6">
      <w:pPr>
        <w:spacing w:before="100" w:beforeAutospacing="1"/>
        <w:rPr>
          <w:rFonts w:eastAsia="Times New Roman" w:cs="Times New Roman"/>
          <w:kern w:val="0"/>
          <w:lang w:eastAsia="sl-SI" w:bidi="ar-SA"/>
        </w:rPr>
      </w:pPr>
    </w:p>
    <w:p w:rsidR="00712FF6" w:rsidRPr="00071596" w:rsidRDefault="00712FF6" w:rsidP="00712FF6">
      <w:pPr>
        <w:spacing w:after="240"/>
      </w:pPr>
    </w:p>
    <w:p w:rsidR="00DF513C" w:rsidRDefault="00DF513C" w:rsidP="00712FF6">
      <w:pPr>
        <w:spacing w:after="240"/>
      </w:pPr>
    </w:p>
    <w:sectPr w:rsidR="00DF513C" w:rsidSect="00DF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7A97"/>
    <w:multiLevelType w:val="multilevel"/>
    <w:tmpl w:val="6B06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567F4"/>
    <w:multiLevelType w:val="hybridMultilevel"/>
    <w:tmpl w:val="C79AE0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A4AE8"/>
    <w:multiLevelType w:val="hybridMultilevel"/>
    <w:tmpl w:val="C0F04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80CE5"/>
    <w:multiLevelType w:val="hybridMultilevel"/>
    <w:tmpl w:val="8C32E5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82EA2"/>
    <w:multiLevelType w:val="multilevel"/>
    <w:tmpl w:val="5368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FF6"/>
    <w:rsid w:val="00336FE6"/>
    <w:rsid w:val="005838C1"/>
    <w:rsid w:val="00712FF6"/>
    <w:rsid w:val="008E26B1"/>
    <w:rsid w:val="008E4FD6"/>
    <w:rsid w:val="00A259FD"/>
    <w:rsid w:val="00DF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2FF6"/>
    <w:pPr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paragraph" w:styleId="Naslov2">
    <w:name w:val="heading 2"/>
    <w:basedOn w:val="Navaden"/>
    <w:link w:val="Naslov2Znak"/>
    <w:uiPriority w:val="9"/>
    <w:qFormat/>
    <w:rsid w:val="008E26B1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12FF6"/>
    <w:pPr>
      <w:spacing w:before="100" w:beforeAutospacing="1" w:after="100" w:afterAutospacing="1"/>
    </w:pPr>
    <w:rPr>
      <w:rFonts w:eastAsia="Times New Roman" w:cs="Times New Roman"/>
      <w:kern w:val="0"/>
      <w:lang w:eastAsia="sl-SI" w:bidi="ar-SA"/>
    </w:rPr>
  </w:style>
  <w:style w:type="character" w:styleId="Hiperpovezava">
    <w:name w:val="Hyperlink"/>
    <w:basedOn w:val="Privzetapisavaodstavka"/>
    <w:uiPriority w:val="99"/>
    <w:unhideWhenUsed/>
    <w:rsid w:val="00336FE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259FD"/>
    <w:pPr>
      <w:ind w:left="720"/>
      <w:contextualSpacing/>
    </w:pPr>
    <w:rPr>
      <w:rFonts w:cs="Mangal"/>
      <w:szCs w:val="21"/>
    </w:rPr>
  </w:style>
  <w:style w:type="character" w:customStyle="1" w:styleId="Naslov2Znak">
    <w:name w:val="Naslov 2 Znak"/>
    <w:basedOn w:val="Privzetapisavaodstavka"/>
    <w:link w:val="Naslov2"/>
    <w:uiPriority w:val="9"/>
    <w:rsid w:val="008E26B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26B1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26B1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mmission/presscorner/detail/en/qanda_21_38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SL/TXT/?uri=uriserv%3AOJ.L_.2021.270.01.0039.01.SLV&amp;toc=OJ%3AL%3A2021%3A270%3AT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2021-08-02T09:57:00Z</dcterms:created>
  <dcterms:modified xsi:type="dcterms:W3CDTF">2021-08-02T10:39:00Z</dcterms:modified>
</cp:coreProperties>
</file>