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C7" w:rsidRPr="00807ACF" w:rsidRDefault="00160FC4" w:rsidP="00807ACF">
      <w:pPr>
        <w:jc w:val="both"/>
        <w:rPr>
          <w:rFonts w:ascii="Arial" w:hAnsi="Arial" w:cs="Arial"/>
          <w:b/>
          <w:i/>
        </w:rPr>
      </w:pPr>
      <w:r w:rsidRPr="00807ACF">
        <w:rPr>
          <w:rFonts w:ascii="Arial" w:hAnsi="Arial" w:cs="Arial"/>
          <w:b/>
          <w:i/>
        </w:rPr>
        <w:t>Evropska komisija napoveduje, da bo 28. septembra objavila drugi razpis vozlišč odličnosti (</w:t>
      </w:r>
      <w:proofErr w:type="spellStart"/>
      <w:r w:rsidRPr="00807ACF">
        <w:rPr>
          <w:rFonts w:ascii="Arial" w:hAnsi="Arial" w:cs="Arial"/>
          <w:b/>
          <w:i/>
        </w:rPr>
        <w:t>Excellence</w:t>
      </w:r>
      <w:proofErr w:type="spellEnd"/>
      <w:r w:rsidRPr="00807ACF">
        <w:rPr>
          <w:rFonts w:ascii="Arial" w:hAnsi="Arial" w:cs="Arial"/>
          <w:b/>
          <w:i/>
        </w:rPr>
        <w:t xml:space="preserve"> </w:t>
      </w:r>
      <w:proofErr w:type="spellStart"/>
      <w:r w:rsidRPr="00807ACF">
        <w:rPr>
          <w:rFonts w:ascii="Arial" w:hAnsi="Arial" w:cs="Arial"/>
          <w:b/>
          <w:i/>
        </w:rPr>
        <w:t>Hubs</w:t>
      </w:r>
      <w:proofErr w:type="spellEnd"/>
      <w:r w:rsidRPr="00807ACF">
        <w:rPr>
          <w:rFonts w:ascii="Arial" w:hAnsi="Arial" w:cs="Arial"/>
          <w:b/>
          <w:i/>
        </w:rPr>
        <w:t>). Ta pobuda se osredotoča na inovacije v državah, ki so upravičene do ukrepov za širitev sodelovanja (</w:t>
      </w:r>
      <w:proofErr w:type="spellStart"/>
      <w:r w:rsidRPr="00807ACF">
        <w:rPr>
          <w:rFonts w:ascii="Arial" w:hAnsi="Arial" w:cs="Arial"/>
          <w:b/>
          <w:i/>
        </w:rPr>
        <w:t>widening</w:t>
      </w:r>
      <w:proofErr w:type="spellEnd"/>
      <w:r w:rsidRPr="00807ACF">
        <w:rPr>
          <w:rFonts w:ascii="Arial" w:hAnsi="Arial" w:cs="Arial"/>
          <w:b/>
          <w:i/>
        </w:rPr>
        <w:t xml:space="preserve"> </w:t>
      </w:r>
      <w:proofErr w:type="spellStart"/>
      <w:r w:rsidRPr="00807ACF">
        <w:rPr>
          <w:rFonts w:ascii="Arial" w:hAnsi="Arial" w:cs="Arial"/>
          <w:b/>
          <w:i/>
        </w:rPr>
        <w:t>countries</w:t>
      </w:r>
      <w:proofErr w:type="spellEnd"/>
      <w:r w:rsidRPr="00807ACF">
        <w:rPr>
          <w:rFonts w:ascii="Arial" w:hAnsi="Arial" w:cs="Arial"/>
          <w:b/>
          <w:i/>
        </w:rPr>
        <w:t>). Med temi državami je tudi Slovenija. Razpis bo odprt do 7. marca 202</w:t>
      </w:r>
      <w:r w:rsidR="00807ACF">
        <w:rPr>
          <w:rFonts w:ascii="Arial" w:hAnsi="Arial" w:cs="Arial"/>
          <w:b/>
          <w:i/>
        </w:rPr>
        <w:t>4</w:t>
      </w:r>
      <w:r w:rsidRPr="00807ACF">
        <w:rPr>
          <w:rFonts w:ascii="Arial" w:hAnsi="Arial" w:cs="Arial"/>
          <w:b/>
          <w:i/>
        </w:rPr>
        <w:t>, na voljo pa bo 60 milijonov evrov. Člani lahko dobijo več informacij na SBRA. Evropska komisija pred objavo razpisa</w:t>
      </w:r>
      <w:r w:rsidR="00DE2BCF" w:rsidRPr="00807ACF">
        <w:rPr>
          <w:rFonts w:ascii="Arial" w:hAnsi="Arial" w:cs="Arial"/>
          <w:b/>
          <w:i/>
        </w:rPr>
        <w:t xml:space="preserve"> kot pomoč zainteresiranim upravičencem pri pripravi projektov</w:t>
      </w:r>
      <w:r w:rsidRPr="00807ACF">
        <w:rPr>
          <w:rFonts w:ascii="Arial" w:hAnsi="Arial" w:cs="Arial"/>
          <w:b/>
          <w:i/>
        </w:rPr>
        <w:t xml:space="preserve"> predstavlja zgledne projekte, ki jih je izbrala na podlagi prvega razpisa. </w:t>
      </w:r>
    </w:p>
    <w:p w:rsidR="003B471D" w:rsidRPr="007D60AD" w:rsidRDefault="003B471D" w:rsidP="00807ACF">
      <w:pPr>
        <w:jc w:val="both"/>
        <w:rPr>
          <w:rFonts w:ascii="Arial" w:hAnsi="Arial" w:cs="Arial"/>
          <w:b/>
          <w:sz w:val="20"/>
          <w:szCs w:val="20"/>
        </w:rPr>
      </w:pPr>
      <w:r w:rsidRPr="007D60AD">
        <w:rPr>
          <w:rFonts w:ascii="Arial" w:hAnsi="Arial" w:cs="Arial"/>
          <w:b/>
          <w:sz w:val="20"/>
          <w:szCs w:val="20"/>
        </w:rPr>
        <w:t xml:space="preserve">Projekt </w:t>
      </w:r>
      <w:proofErr w:type="spellStart"/>
      <w:r w:rsidRPr="007D60AD">
        <w:rPr>
          <w:rFonts w:ascii="Arial" w:hAnsi="Arial" w:cs="Arial"/>
          <w:b/>
          <w:sz w:val="20"/>
          <w:szCs w:val="20"/>
        </w:rPr>
        <w:t>SolarHub</w:t>
      </w:r>
      <w:proofErr w:type="spellEnd"/>
    </w:p>
    <w:p w:rsidR="003B471D" w:rsidRPr="00807ACF" w:rsidRDefault="003B471D" w:rsidP="00807ACF">
      <w:pPr>
        <w:jc w:val="both"/>
        <w:rPr>
          <w:rFonts w:ascii="Arial" w:hAnsi="Arial" w:cs="Arial"/>
          <w:sz w:val="20"/>
          <w:szCs w:val="20"/>
        </w:rPr>
      </w:pPr>
      <w:r w:rsidRPr="00807ACF">
        <w:rPr>
          <w:rFonts w:ascii="Arial" w:hAnsi="Arial" w:cs="Arial"/>
          <w:sz w:val="20"/>
          <w:szCs w:val="20"/>
        </w:rPr>
        <w:t xml:space="preserve">Glavni cilj projekta je okrepiti povezave med petimi grškimi in turškimi inovacijskimi ekosistemi na področju sončne energije ter skupaj razviti strategijo vozlišča in skupni strateški program raziskav in inovacij. Predvideno je, da bo s sodelovanjem med industrijskimi akterji, vladnimi institucijami, raziskovalnimi inštituti in javnostjo </w:t>
      </w:r>
      <w:proofErr w:type="spellStart"/>
      <w:r w:rsidRPr="00807ACF">
        <w:rPr>
          <w:rFonts w:ascii="Arial" w:hAnsi="Arial" w:cs="Arial"/>
          <w:sz w:val="20"/>
          <w:szCs w:val="20"/>
        </w:rPr>
        <w:t>SolarHub</w:t>
      </w:r>
      <w:proofErr w:type="spellEnd"/>
      <w:r w:rsidRPr="00807ACF">
        <w:rPr>
          <w:rFonts w:ascii="Arial" w:hAnsi="Arial" w:cs="Arial"/>
          <w:sz w:val="20"/>
          <w:szCs w:val="20"/>
        </w:rPr>
        <w:t xml:space="preserve"> začel skupne raziskovalne dejavnosti in razvil štiri </w:t>
      </w:r>
      <w:proofErr w:type="spellStart"/>
      <w:r w:rsidRPr="00807ACF">
        <w:rPr>
          <w:rFonts w:ascii="Arial" w:hAnsi="Arial" w:cs="Arial"/>
          <w:sz w:val="20"/>
          <w:szCs w:val="20"/>
        </w:rPr>
        <w:t>prednačrte</w:t>
      </w:r>
      <w:proofErr w:type="spellEnd"/>
      <w:r w:rsidRPr="00807ACF">
        <w:rPr>
          <w:rFonts w:ascii="Arial" w:hAnsi="Arial" w:cs="Arial"/>
          <w:sz w:val="20"/>
          <w:szCs w:val="20"/>
        </w:rPr>
        <w:t xml:space="preserve"> različnih rešitev na področju sončne energije. </w:t>
      </w:r>
      <w:r w:rsidR="00DE2BCF" w:rsidRPr="00807ACF">
        <w:rPr>
          <w:rFonts w:ascii="Arial" w:hAnsi="Arial" w:cs="Arial"/>
          <w:sz w:val="20"/>
          <w:szCs w:val="20"/>
        </w:rPr>
        <w:t>Partnerji v</w:t>
      </w:r>
      <w:r w:rsidRPr="00807ACF">
        <w:rPr>
          <w:rFonts w:ascii="Arial" w:hAnsi="Arial" w:cs="Arial"/>
          <w:sz w:val="20"/>
          <w:szCs w:val="20"/>
        </w:rPr>
        <w:t xml:space="preserve"> projekt</w:t>
      </w:r>
      <w:r w:rsidR="00DE2BCF" w:rsidRPr="00807ACF">
        <w:rPr>
          <w:rFonts w:ascii="Arial" w:hAnsi="Arial" w:cs="Arial"/>
          <w:sz w:val="20"/>
          <w:szCs w:val="20"/>
        </w:rPr>
        <w:t xml:space="preserve">u nameravajo razviti </w:t>
      </w:r>
      <w:r w:rsidRPr="00807ACF">
        <w:rPr>
          <w:rFonts w:ascii="Arial" w:hAnsi="Arial" w:cs="Arial"/>
          <w:sz w:val="20"/>
          <w:szCs w:val="20"/>
        </w:rPr>
        <w:t>ustrezne raziskovalne strategije, priložnosti za mreženje in usposabljanje zainteresiranih strani ter spodbuja</w:t>
      </w:r>
      <w:r w:rsidR="00DE2BCF" w:rsidRPr="00807ACF">
        <w:rPr>
          <w:rFonts w:ascii="Arial" w:hAnsi="Arial" w:cs="Arial"/>
          <w:sz w:val="20"/>
          <w:szCs w:val="20"/>
        </w:rPr>
        <w:t xml:space="preserve">ti </w:t>
      </w:r>
      <w:r w:rsidRPr="00807ACF">
        <w:rPr>
          <w:rFonts w:ascii="Arial" w:hAnsi="Arial" w:cs="Arial"/>
          <w:sz w:val="20"/>
          <w:szCs w:val="20"/>
        </w:rPr>
        <w:t>sinergije med raziskovalnimi infrastrukturami.</w:t>
      </w:r>
    </w:p>
    <w:p w:rsidR="00DE2BCF" w:rsidRPr="007D60AD" w:rsidRDefault="00DE2BCF" w:rsidP="00807ACF">
      <w:pPr>
        <w:jc w:val="both"/>
        <w:rPr>
          <w:rFonts w:ascii="Arial" w:hAnsi="Arial" w:cs="Arial"/>
          <w:b/>
          <w:sz w:val="20"/>
          <w:szCs w:val="20"/>
        </w:rPr>
      </w:pPr>
      <w:r w:rsidRPr="007D60AD">
        <w:rPr>
          <w:rFonts w:ascii="Arial" w:hAnsi="Arial" w:cs="Arial"/>
          <w:b/>
          <w:sz w:val="20"/>
          <w:szCs w:val="20"/>
        </w:rPr>
        <w:t>Projekt EXCEL4MED</w:t>
      </w:r>
    </w:p>
    <w:p w:rsidR="00DE2BCF" w:rsidRPr="00807ACF" w:rsidRDefault="00DE2BCF" w:rsidP="00807ACF">
      <w:pPr>
        <w:jc w:val="both"/>
        <w:rPr>
          <w:rFonts w:ascii="Arial" w:hAnsi="Arial" w:cs="Arial"/>
          <w:sz w:val="20"/>
          <w:szCs w:val="20"/>
        </w:rPr>
      </w:pPr>
      <w:r w:rsidRPr="00807ACF">
        <w:rPr>
          <w:rFonts w:ascii="Arial" w:hAnsi="Arial" w:cs="Arial"/>
          <w:sz w:val="20"/>
          <w:szCs w:val="20"/>
        </w:rPr>
        <w:t>Namen projekta je prispevati k vrednostni verigi hrane na območju Sredozemlja in trajnostni rasti kmetijskega sektorja, podpreti gospodarsko rast in zaposlitvene možnosti na podeželju. Osredotoča se na inovacijske ekosisteme, ki proizvajajo hranljive prehranske izdelke. Partnerji bodo vzpostavili čezmejno sodelovanje med grškimi, malteškimi in francoskimi organizacijami, raziskovalnimi ustanovami in vladnimi organi, da bi okrepili verige dodane vrednosti hrane v regiji.</w:t>
      </w:r>
    </w:p>
    <w:p w:rsidR="00DE2BCF" w:rsidRPr="007D60AD" w:rsidRDefault="004763B7" w:rsidP="00807ACF">
      <w:pPr>
        <w:jc w:val="both"/>
        <w:rPr>
          <w:rFonts w:ascii="Arial" w:hAnsi="Arial" w:cs="Arial"/>
          <w:b/>
          <w:sz w:val="20"/>
          <w:szCs w:val="20"/>
        </w:rPr>
      </w:pPr>
      <w:r w:rsidRPr="007D60AD">
        <w:rPr>
          <w:rFonts w:ascii="Arial" w:hAnsi="Arial" w:cs="Arial"/>
          <w:b/>
          <w:sz w:val="20"/>
          <w:szCs w:val="20"/>
        </w:rPr>
        <w:t xml:space="preserve">Projekt </w:t>
      </w:r>
      <w:proofErr w:type="spellStart"/>
      <w:r w:rsidRPr="007D60AD">
        <w:rPr>
          <w:rFonts w:ascii="Arial" w:hAnsi="Arial" w:cs="Arial"/>
          <w:b/>
          <w:sz w:val="20"/>
          <w:szCs w:val="20"/>
        </w:rPr>
        <w:t>BCThubs</w:t>
      </w:r>
      <w:proofErr w:type="spellEnd"/>
    </w:p>
    <w:p w:rsidR="004763B7" w:rsidRPr="00807ACF" w:rsidRDefault="004763B7" w:rsidP="00807ACF">
      <w:pPr>
        <w:jc w:val="both"/>
        <w:rPr>
          <w:rFonts w:ascii="Arial" w:hAnsi="Arial" w:cs="Arial"/>
          <w:sz w:val="20"/>
          <w:szCs w:val="20"/>
        </w:rPr>
      </w:pPr>
      <w:r w:rsidRPr="00807ACF">
        <w:rPr>
          <w:rFonts w:ascii="Arial" w:hAnsi="Arial" w:cs="Arial"/>
          <w:sz w:val="20"/>
          <w:szCs w:val="20"/>
        </w:rPr>
        <w:t>Partnerji v projektu razvijajo modre tehnologije za podvodno kulturno dediščino. Z vzpostavitvijo centrov odličnosti za modre kulturne tehnologije (BCT) v Grčiji, na Malti in v Bolgariji nameravajo povečati zmogljivosti za raziskave in inovacije v sektorju modrega gospodarstva. Cilj projekta je vozliščem odličnosti BCT zagotoviti nove inovativne rešitve in izdelke. Vsako vozlišče odličnosti vključuje akterje, povezane z modro kulturo in podvodno kulturno dediščino.</w:t>
      </w:r>
    </w:p>
    <w:p w:rsidR="004763B7" w:rsidRPr="00807ACF" w:rsidRDefault="004763B7" w:rsidP="00807ACF">
      <w:pPr>
        <w:jc w:val="both"/>
        <w:rPr>
          <w:rFonts w:ascii="Arial" w:hAnsi="Arial" w:cs="Arial"/>
          <w:sz w:val="20"/>
          <w:szCs w:val="20"/>
        </w:rPr>
      </w:pPr>
      <w:r w:rsidRPr="00807ACF">
        <w:rPr>
          <w:rFonts w:ascii="Arial" w:hAnsi="Arial" w:cs="Arial"/>
          <w:sz w:val="20"/>
          <w:szCs w:val="20"/>
        </w:rPr>
        <w:t xml:space="preserve">Vozlišča odličnosti inovacijskim ekosistemom omogočajo, da se povežejo in ustvarijo boljše povezave med akademskim svetom, podjetji, vlado in družbo. Koordinator projekta mora biti iz ene od </w:t>
      </w:r>
      <w:r w:rsidR="00457F0C" w:rsidRPr="00807ACF">
        <w:rPr>
          <w:rFonts w:ascii="Arial" w:hAnsi="Arial" w:cs="Arial"/>
          <w:sz w:val="20"/>
          <w:szCs w:val="20"/>
        </w:rPr>
        <w:t>držav, ki so upravičene do ukrepov za širitev sodelovanja (</w:t>
      </w:r>
      <w:proofErr w:type="spellStart"/>
      <w:r w:rsidR="00457F0C" w:rsidRPr="00807ACF">
        <w:rPr>
          <w:rFonts w:ascii="Arial" w:hAnsi="Arial" w:cs="Arial"/>
          <w:sz w:val="20"/>
          <w:szCs w:val="20"/>
        </w:rPr>
        <w:t>widening</w:t>
      </w:r>
      <w:proofErr w:type="spellEnd"/>
      <w:r w:rsidR="00457F0C" w:rsidRPr="00807ACF">
        <w:rPr>
          <w:rFonts w:ascii="Arial" w:hAnsi="Arial" w:cs="Arial"/>
          <w:sz w:val="20"/>
          <w:szCs w:val="20"/>
        </w:rPr>
        <w:t xml:space="preserve"> </w:t>
      </w:r>
      <w:proofErr w:type="spellStart"/>
      <w:r w:rsidR="00457F0C" w:rsidRPr="00807ACF">
        <w:rPr>
          <w:rFonts w:ascii="Arial" w:hAnsi="Arial" w:cs="Arial"/>
          <w:sz w:val="20"/>
          <w:szCs w:val="20"/>
        </w:rPr>
        <w:t>countries</w:t>
      </w:r>
      <w:proofErr w:type="spellEnd"/>
      <w:r w:rsidR="00457F0C" w:rsidRPr="00807ACF">
        <w:rPr>
          <w:rFonts w:ascii="Arial" w:hAnsi="Arial" w:cs="Arial"/>
          <w:sz w:val="20"/>
          <w:szCs w:val="20"/>
        </w:rPr>
        <w:t>), partnerji</w:t>
      </w:r>
      <w:r w:rsidRPr="00807ACF">
        <w:rPr>
          <w:rFonts w:ascii="Arial" w:hAnsi="Arial" w:cs="Arial"/>
          <w:sz w:val="20"/>
          <w:szCs w:val="20"/>
        </w:rPr>
        <w:t xml:space="preserve"> projekta </w:t>
      </w:r>
      <w:r w:rsidR="00457F0C" w:rsidRPr="00807ACF">
        <w:rPr>
          <w:rFonts w:ascii="Arial" w:hAnsi="Arial" w:cs="Arial"/>
          <w:sz w:val="20"/>
          <w:szCs w:val="20"/>
        </w:rPr>
        <w:t xml:space="preserve">pa so lahko </w:t>
      </w:r>
      <w:r w:rsidRPr="00807ACF">
        <w:rPr>
          <w:rFonts w:ascii="Arial" w:hAnsi="Arial" w:cs="Arial"/>
          <w:sz w:val="20"/>
          <w:szCs w:val="20"/>
        </w:rPr>
        <w:t>iz katere koli države, pridružene programu Obzorje Evropa.</w:t>
      </w:r>
    </w:p>
    <w:p w:rsidR="00457F0C" w:rsidRPr="00807ACF" w:rsidRDefault="00457F0C" w:rsidP="00807ACF">
      <w:pPr>
        <w:jc w:val="both"/>
        <w:rPr>
          <w:rFonts w:ascii="Arial" w:hAnsi="Arial" w:cs="Arial"/>
          <w:sz w:val="20"/>
          <w:szCs w:val="20"/>
        </w:rPr>
      </w:pPr>
      <w:r w:rsidRPr="00807ACF">
        <w:rPr>
          <w:rFonts w:ascii="Arial" w:hAnsi="Arial" w:cs="Arial"/>
          <w:sz w:val="20"/>
          <w:szCs w:val="20"/>
        </w:rPr>
        <w:t>Evropska komisija navaja, da je več informacij o vozliščih odličnosti mogoče dobiti tudi z ogledom posnetka informativnega dneva z začetkom na 2:25:50.</w:t>
      </w:r>
    </w:p>
    <w:p w:rsidR="00457F0C" w:rsidRPr="007D60AD" w:rsidRDefault="00457F0C" w:rsidP="00807ACF">
      <w:pPr>
        <w:jc w:val="both"/>
        <w:rPr>
          <w:rFonts w:ascii="Arial" w:hAnsi="Arial" w:cs="Arial"/>
          <w:b/>
          <w:sz w:val="20"/>
          <w:szCs w:val="20"/>
        </w:rPr>
      </w:pPr>
      <w:r w:rsidRPr="007D60AD">
        <w:rPr>
          <w:rFonts w:ascii="Arial" w:hAnsi="Arial" w:cs="Arial"/>
          <w:b/>
          <w:sz w:val="20"/>
          <w:szCs w:val="20"/>
        </w:rPr>
        <w:t>Koristne informacije:</w:t>
      </w:r>
    </w:p>
    <w:p w:rsidR="00457F0C" w:rsidRPr="007D60AD" w:rsidRDefault="00457F0C" w:rsidP="007D60AD">
      <w:pPr>
        <w:pStyle w:val="Odstavekseznama"/>
        <w:numPr>
          <w:ilvl w:val="0"/>
          <w:numId w:val="1"/>
        </w:numPr>
        <w:jc w:val="both"/>
        <w:rPr>
          <w:rFonts w:ascii="Arial" w:hAnsi="Arial" w:cs="Arial"/>
          <w:sz w:val="20"/>
          <w:szCs w:val="20"/>
        </w:rPr>
      </w:pPr>
      <w:r w:rsidRPr="007D60AD">
        <w:rPr>
          <w:rFonts w:ascii="Arial" w:hAnsi="Arial" w:cs="Arial"/>
          <w:sz w:val="20"/>
          <w:szCs w:val="20"/>
        </w:rPr>
        <w:t>Napoved razpisa:</w:t>
      </w:r>
    </w:p>
    <w:p w:rsidR="00457F0C" w:rsidRPr="007D60AD" w:rsidRDefault="00457F0C" w:rsidP="007D60AD">
      <w:pPr>
        <w:pStyle w:val="Odstavekseznama"/>
        <w:numPr>
          <w:ilvl w:val="0"/>
          <w:numId w:val="1"/>
        </w:numPr>
        <w:jc w:val="both"/>
        <w:rPr>
          <w:rFonts w:ascii="Arial" w:hAnsi="Arial" w:cs="Arial"/>
          <w:sz w:val="20"/>
          <w:szCs w:val="20"/>
        </w:rPr>
      </w:pPr>
      <w:hyperlink r:id="rId5" w:history="1">
        <w:r w:rsidRPr="007D60AD">
          <w:rPr>
            <w:rStyle w:val="Hiperpovezava"/>
            <w:rFonts w:ascii="Arial" w:hAnsi="Arial" w:cs="Arial"/>
            <w:sz w:val="20"/>
            <w:szCs w:val="20"/>
          </w:rPr>
          <w:t>https://rea.ec.europa.eu/funding-and-grants/horizon-europe-widening-participation-and-spreading-excellence/excellence-hubs_sl</w:t>
        </w:r>
      </w:hyperlink>
    </w:p>
    <w:p w:rsidR="00457F0C" w:rsidRPr="007D60AD" w:rsidRDefault="00457F0C" w:rsidP="007D60AD">
      <w:pPr>
        <w:pStyle w:val="Odstavekseznama"/>
        <w:numPr>
          <w:ilvl w:val="0"/>
          <w:numId w:val="1"/>
        </w:numPr>
        <w:jc w:val="both"/>
        <w:rPr>
          <w:rFonts w:ascii="Arial" w:hAnsi="Arial" w:cs="Arial"/>
          <w:sz w:val="20"/>
          <w:szCs w:val="20"/>
        </w:rPr>
      </w:pPr>
      <w:r w:rsidRPr="007D60AD">
        <w:rPr>
          <w:rFonts w:ascii="Arial" w:hAnsi="Arial" w:cs="Arial"/>
          <w:sz w:val="20"/>
          <w:szCs w:val="20"/>
        </w:rPr>
        <w:t>Posnetek informativnega dneva:</w:t>
      </w:r>
    </w:p>
    <w:p w:rsidR="00457F0C" w:rsidRPr="007D60AD" w:rsidRDefault="00457F0C" w:rsidP="007D60AD">
      <w:pPr>
        <w:pStyle w:val="Odstavekseznama"/>
        <w:numPr>
          <w:ilvl w:val="0"/>
          <w:numId w:val="1"/>
        </w:numPr>
        <w:jc w:val="both"/>
        <w:rPr>
          <w:rFonts w:ascii="Arial" w:hAnsi="Arial" w:cs="Arial"/>
          <w:sz w:val="20"/>
          <w:szCs w:val="20"/>
        </w:rPr>
      </w:pPr>
      <w:hyperlink r:id="rId6" w:history="1">
        <w:r w:rsidRPr="007D60AD">
          <w:rPr>
            <w:rStyle w:val="Hiperpovezava"/>
            <w:rFonts w:ascii="Arial" w:hAnsi="Arial" w:cs="Arial"/>
            <w:sz w:val="20"/>
            <w:szCs w:val="20"/>
          </w:rPr>
          <w:t>https://www.youtube.com/watch?v=wdK-P91UtSo</w:t>
        </w:r>
      </w:hyperlink>
    </w:p>
    <w:p w:rsidR="00457F0C" w:rsidRPr="007D60AD" w:rsidRDefault="00457F0C" w:rsidP="007D60AD">
      <w:pPr>
        <w:pStyle w:val="Odstavekseznama"/>
        <w:numPr>
          <w:ilvl w:val="0"/>
          <w:numId w:val="1"/>
        </w:numPr>
        <w:jc w:val="both"/>
        <w:rPr>
          <w:rFonts w:ascii="Arial" w:hAnsi="Arial" w:cs="Arial"/>
          <w:sz w:val="20"/>
          <w:szCs w:val="20"/>
        </w:rPr>
      </w:pPr>
      <w:r w:rsidRPr="007D60AD">
        <w:rPr>
          <w:rFonts w:ascii="Arial" w:hAnsi="Arial" w:cs="Arial"/>
          <w:sz w:val="20"/>
          <w:szCs w:val="20"/>
        </w:rPr>
        <w:t>Države, ki so upravičene do ukrepov za širitev sodelovanja (</w:t>
      </w:r>
      <w:proofErr w:type="spellStart"/>
      <w:r w:rsidRPr="007D60AD">
        <w:rPr>
          <w:rFonts w:ascii="Arial" w:hAnsi="Arial" w:cs="Arial"/>
          <w:sz w:val="20"/>
          <w:szCs w:val="20"/>
        </w:rPr>
        <w:t>widening</w:t>
      </w:r>
      <w:proofErr w:type="spellEnd"/>
      <w:r w:rsidRPr="007D60AD">
        <w:rPr>
          <w:rFonts w:ascii="Arial" w:hAnsi="Arial" w:cs="Arial"/>
          <w:sz w:val="20"/>
          <w:szCs w:val="20"/>
        </w:rPr>
        <w:t xml:space="preserve"> </w:t>
      </w:r>
      <w:proofErr w:type="spellStart"/>
      <w:r w:rsidRPr="007D60AD">
        <w:rPr>
          <w:rFonts w:ascii="Arial" w:hAnsi="Arial" w:cs="Arial"/>
          <w:sz w:val="20"/>
          <w:szCs w:val="20"/>
        </w:rPr>
        <w:t>countries</w:t>
      </w:r>
      <w:proofErr w:type="spellEnd"/>
      <w:r w:rsidRPr="007D60AD">
        <w:rPr>
          <w:rFonts w:ascii="Arial" w:hAnsi="Arial" w:cs="Arial"/>
          <w:sz w:val="20"/>
          <w:szCs w:val="20"/>
        </w:rPr>
        <w:t>):</w:t>
      </w:r>
    </w:p>
    <w:p w:rsidR="00457F0C" w:rsidRPr="007D60AD" w:rsidRDefault="00457F0C" w:rsidP="007D60AD">
      <w:pPr>
        <w:pStyle w:val="Odstavekseznama"/>
        <w:numPr>
          <w:ilvl w:val="0"/>
          <w:numId w:val="1"/>
        </w:numPr>
        <w:jc w:val="both"/>
        <w:rPr>
          <w:rFonts w:ascii="Arial" w:hAnsi="Arial" w:cs="Arial"/>
          <w:sz w:val="20"/>
          <w:szCs w:val="20"/>
        </w:rPr>
      </w:pPr>
      <w:hyperlink r:id="rId7" w:history="1">
        <w:r w:rsidRPr="007D60AD">
          <w:rPr>
            <w:rStyle w:val="Hiperpovezava"/>
            <w:rFonts w:ascii="Arial" w:hAnsi="Arial" w:cs="Arial"/>
            <w:sz w:val="20"/>
            <w:szCs w:val="20"/>
          </w:rPr>
          <w:t>https://rea.ec.europa.eu/horizon-europe-widening-who-should-apply_sl</w:t>
        </w:r>
      </w:hyperlink>
    </w:p>
    <w:p w:rsidR="00457F0C" w:rsidRPr="007D60AD" w:rsidRDefault="00457F0C" w:rsidP="007D60AD">
      <w:pPr>
        <w:pStyle w:val="Odstavekseznama"/>
        <w:numPr>
          <w:ilvl w:val="0"/>
          <w:numId w:val="1"/>
        </w:numPr>
        <w:jc w:val="both"/>
        <w:rPr>
          <w:rFonts w:ascii="Arial" w:hAnsi="Arial" w:cs="Arial"/>
          <w:sz w:val="20"/>
          <w:szCs w:val="20"/>
        </w:rPr>
      </w:pPr>
      <w:r w:rsidRPr="007D60AD">
        <w:rPr>
          <w:rFonts w:ascii="Arial" w:hAnsi="Arial" w:cs="Arial"/>
          <w:sz w:val="20"/>
          <w:szCs w:val="20"/>
        </w:rPr>
        <w:t xml:space="preserve">Projekt </w:t>
      </w:r>
      <w:proofErr w:type="spellStart"/>
      <w:r w:rsidRPr="007D60AD">
        <w:rPr>
          <w:rFonts w:ascii="Arial" w:hAnsi="Arial" w:cs="Arial"/>
          <w:sz w:val="20"/>
          <w:szCs w:val="20"/>
        </w:rPr>
        <w:t>SolarHub</w:t>
      </w:r>
      <w:proofErr w:type="spellEnd"/>
      <w:r w:rsidRPr="007D60AD">
        <w:rPr>
          <w:rFonts w:ascii="Arial" w:hAnsi="Arial" w:cs="Arial"/>
          <w:sz w:val="20"/>
          <w:szCs w:val="20"/>
        </w:rPr>
        <w:t>:</w:t>
      </w:r>
    </w:p>
    <w:p w:rsidR="00457F0C" w:rsidRPr="007D60AD" w:rsidRDefault="00457F0C" w:rsidP="007D60AD">
      <w:pPr>
        <w:pStyle w:val="Odstavekseznama"/>
        <w:numPr>
          <w:ilvl w:val="0"/>
          <w:numId w:val="1"/>
        </w:numPr>
        <w:jc w:val="both"/>
        <w:rPr>
          <w:rFonts w:ascii="Arial" w:hAnsi="Arial" w:cs="Arial"/>
          <w:sz w:val="20"/>
          <w:szCs w:val="20"/>
        </w:rPr>
      </w:pPr>
      <w:hyperlink r:id="rId8" w:history="1">
        <w:r w:rsidRPr="007D60AD">
          <w:rPr>
            <w:rStyle w:val="Hiperpovezava"/>
            <w:rFonts w:ascii="Arial" w:hAnsi="Arial" w:cs="Arial"/>
            <w:sz w:val="20"/>
            <w:szCs w:val="20"/>
          </w:rPr>
          <w:t>https://cordis.europa.eu/project/id/101086110</w:t>
        </w:r>
      </w:hyperlink>
    </w:p>
    <w:p w:rsidR="00457F0C" w:rsidRPr="007D60AD" w:rsidRDefault="00457F0C" w:rsidP="007D60AD">
      <w:pPr>
        <w:pStyle w:val="Odstavekseznama"/>
        <w:numPr>
          <w:ilvl w:val="0"/>
          <w:numId w:val="1"/>
        </w:numPr>
        <w:jc w:val="both"/>
        <w:rPr>
          <w:rFonts w:ascii="Arial" w:hAnsi="Arial" w:cs="Arial"/>
          <w:sz w:val="20"/>
          <w:szCs w:val="20"/>
        </w:rPr>
      </w:pPr>
      <w:r w:rsidRPr="007D60AD">
        <w:rPr>
          <w:rFonts w:ascii="Arial" w:hAnsi="Arial" w:cs="Arial"/>
          <w:sz w:val="20"/>
          <w:szCs w:val="20"/>
        </w:rPr>
        <w:t>Projekt EXCEL4MED:</w:t>
      </w:r>
    </w:p>
    <w:p w:rsidR="00457F0C" w:rsidRPr="007D60AD" w:rsidRDefault="00457F0C" w:rsidP="007D60AD">
      <w:pPr>
        <w:pStyle w:val="Odstavekseznama"/>
        <w:numPr>
          <w:ilvl w:val="0"/>
          <w:numId w:val="1"/>
        </w:numPr>
        <w:jc w:val="both"/>
        <w:rPr>
          <w:rFonts w:ascii="Arial" w:hAnsi="Arial" w:cs="Arial"/>
          <w:sz w:val="20"/>
          <w:szCs w:val="20"/>
        </w:rPr>
      </w:pPr>
      <w:hyperlink r:id="rId9" w:history="1">
        <w:r w:rsidRPr="007D60AD">
          <w:rPr>
            <w:rStyle w:val="Hiperpovezava"/>
            <w:rFonts w:ascii="Arial" w:hAnsi="Arial" w:cs="Arial"/>
            <w:sz w:val="20"/>
            <w:szCs w:val="20"/>
          </w:rPr>
          <w:t>https://cordis.europa.eu/project/id/101087147</w:t>
        </w:r>
      </w:hyperlink>
    </w:p>
    <w:p w:rsidR="00457F0C" w:rsidRPr="007D60AD" w:rsidRDefault="00457F0C" w:rsidP="007D60AD">
      <w:pPr>
        <w:pStyle w:val="Odstavekseznama"/>
        <w:numPr>
          <w:ilvl w:val="0"/>
          <w:numId w:val="1"/>
        </w:numPr>
        <w:jc w:val="both"/>
        <w:rPr>
          <w:rFonts w:ascii="Arial" w:hAnsi="Arial" w:cs="Arial"/>
          <w:sz w:val="20"/>
          <w:szCs w:val="20"/>
        </w:rPr>
      </w:pPr>
      <w:r w:rsidRPr="007D60AD">
        <w:rPr>
          <w:rFonts w:ascii="Arial" w:hAnsi="Arial" w:cs="Arial"/>
          <w:sz w:val="20"/>
          <w:szCs w:val="20"/>
        </w:rPr>
        <w:t xml:space="preserve">Projekt </w:t>
      </w:r>
      <w:proofErr w:type="spellStart"/>
      <w:r w:rsidRPr="007D60AD">
        <w:rPr>
          <w:rFonts w:ascii="Arial" w:hAnsi="Arial" w:cs="Arial"/>
          <w:sz w:val="20"/>
          <w:szCs w:val="20"/>
        </w:rPr>
        <w:t>BCThubs</w:t>
      </w:r>
      <w:proofErr w:type="spellEnd"/>
      <w:r w:rsidRPr="007D60AD">
        <w:rPr>
          <w:rFonts w:ascii="Arial" w:hAnsi="Arial" w:cs="Arial"/>
          <w:sz w:val="20"/>
          <w:szCs w:val="20"/>
        </w:rPr>
        <w:t>:</w:t>
      </w:r>
    </w:p>
    <w:p w:rsidR="00457F0C" w:rsidRPr="007D60AD" w:rsidRDefault="00457F0C" w:rsidP="007D60AD">
      <w:pPr>
        <w:pStyle w:val="Odstavekseznama"/>
        <w:numPr>
          <w:ilvl w:val="0"/>
          <w:numId w:val="1"/>
        </w:numPr>
        <w:jc w:val="both"/>
        <w:rPr>
          <w:rFonts w:ascii="Arial" w:hAnsi="Arial" w:cs="Arial"/>
          <w:sz w:val="20"/>
          <w:szCs w:val="20"/>
        </w:rPr>
      </w:pPr>
      <w:hyperlink r:id="rId10" w:history="1">
        <w:r w:rsidRPr="007D60AD">
          <w:rPr>
            <w:rStyle w:val="Hiperpovezava"/>
            <w:rFonts w:ascii="Arial" w:hAnsi="Arial" w:cs="Arial"/>
            <w:sz w:val="20"/>
            <w:szCs w:val="20"/>
          </w:rPr>
          <w:t>https://cordis.europa.eu/project/id/101087146</w:t>
        </w:r>
      </w:hyperlink>
    </w:p>
    <w:p w:rsidR="00457F0C" w:rsidRPr="00807ACF" w:rsidRDefault="00457F0C" w:rsidP="007D60AD">
      <w:pPr>
        <w:spacing w:after="0"/>
        <w:jc w:val="both"/>
        <w:rPr>
          <w:rFonts w:ascii="Arial" w:hAnsi="Arial" w:cs="Arial"/>
          <w:sz w:val="20"/>
          <w:szCs w:val="20"/>
        </w:rPr>
      </w:pPr>
      <w:r w:rsidRPr="00807ACF">
        <w:rPr>
          <w:rFonts w:ascii="Arial" w:hAnsi="Arial" w:cs="Arial"/>
          <w:sz w:val="20"/>
          <w:szCs w:val="20"/>
        </w:rPr>
        <w:t>Pripravila:</w:t>
      </w:r>
    </w:p>
    <w:p w:rsidR="00457F0C" w:rsidRPr="00807ACF" w:rsidRDefault="00457F0C" w:rsidP="007D60AD">
      <w:pPr>
        <w:spacing w:after="0"/>
        <w:jc w:val="both"/>
        <w:rPr>
          <w:rFonts w:ascii="Arial" w:hAnsi="Arial" w:cs="Arial"/>
          <w:sz w:val="20"/>
          <w:szCs w:val="20"/>
        </w:rPr>
      </w:pPr>
      <w:r w:rsidRPr="00807ACF">
        <w:rPr>
          <w:rFonts w:ascii="Arial" w:hAnsi="Arial" w:cs="Arial"/>
          <w:sz w:val="20"/>
          <w:szCs w:val="20"/>
        </w:rPr>
        <w:t>Darja Kocbek</w:t>
      </w:r>
    </w:p>
    <w:p w:rsidR="00457F0C" w:rsidRDefault="00457F0C" w:rsidP="007D60AD">
      <w:pPr>
        <w:spacing w:after="0"/>
      </w:pPr>
    </w:p>
    <w:sectPr w:rsidR="00457F0C" w:rsidSect="00733A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E0216"/>
    <w:multiLevelType w:val="hybridMultilevel"/>
    <w:tmpl w:val="7B4216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0FC4"/>
    <w:rsid w:val="00160FC4"/>
    <w:rsid w:val="003B471D"/>
    <w:rsid w:val="00457F0C"/>
    <w:rsid w:val="004763B7"/>
    <w:rsid w:val="00733AC7"/>
    <w:rsid w:val="007D60AD"/>
    <w:rsid w:val="00807ACF"/>
    <w:rsid w:val="00DE2BC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3AC7"/>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60FC4"/>
    <w:rPr>
      <w:color w:val="0000FF"/>
      <w:u w:val="single"/>
    </w:rPr>
  </w:style>
  <w:style w:type="character" w:styleId="Poudarek">
    <w:name w:val="Emphasis"/>
    <w:basedOn w:val="Privzetapisavaodstavka"/>
    <w:uiPriority w:val="20"/>
    <w:qFormat/>
    <w:rsid w:val="00160FC4"/>
    <w:rPr>
      <w:i/>
      <w:iCs/>
    </w:rPr>
  </w:style>
  <w:style w:type="paragraph" w:styleId="Odstavekseznama">
    <w:name w:val="List Paragraph"/>
    <w:basedOn w:val="Navaden"/>
    <w:uiPriority w:val="34"/>
    <w:qFormat/>
    <w:rsid w:val="007D60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dis.europa.eu/project/id/101086110" TargetMode="External"/><Relationship Id="rId3" Type="http://schemas.openxmlformats.org/officeDocument/2006/relationships/settings" Target="settings.xml"/><Relationship Id="rId7" Type="http://schemas.openxmlformats.org/officeDocument/2006/relationships/hyperlink" Target="https://rea.ec.europa.eu/horizon-europe-widening-who-should-apply_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dK-P91UtSo" TargetMode="External"/><Relationship Id="rId11" Type="http://schemas.openxmlformats.org/officeDocument/2006/relationships/fontTable" Target="fontTable.xml"/><Relationship Id="rId5" Type="http://schemas.openxmlformats.org/officeDocument/2006/relationships/hyperlink" Target="https://rea.ec.europa.eu/funding-and-grants/horizon-europe-widening-participation-and-spreading-excellence/excellence-hubs_sl" TargetMode="External"/><Relationship Id="rId10" Type="http://schemas.openxmlformats.org/officeDocument/2006/relationships/hyperlink" Target="https://cordis.europa.eu/project/id/101087146" TargetMode="External"/><Relationship Id="rId4" Type="http://schemas.openxmlformats.org/officeDocument/2006/relationships/webSettings" Target="webSettings.xml"/><Relationship Id="rId9" Type="http://schemas.openxmlformats.org/officeDocument/2006/relationships/hyperlink" Target="https://cordis.europa.eu/project/id/10108714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568</Words>
  <Characters>3239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2023-07-20T14:17:00Z</dcterms:created>
  <dcterms:modified xsi:type="dcterms:W3CDTF">2023-07-20T14:50:00Z</dcterms:modified>
</cp:coreProperties>
</file>