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AD" w:rsidRPr="00467345" w:rsidRDefault="000B76AD" w:rsidP="000B76AD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6AD" w:rsidRPr="00083714" w:rsidRDefault="000B76AD" w:rsidP="000B76AD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B76AD" w:rsidRPr="00083714" w:rsidRDefault="000B76AD" w:rsidP="000B76A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B76AD" w:rsidRDefault="000B76AD" w:rsidP="000B76AD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120 </w:t>
      </w:r>
      <w:r w:rsidRPr="00083714">
        <w:rPr>
          <w:b/>
        </w:rPr>
        <w:t>– 20</w:t>
      </w:r>
      <w:r>
        <w:rPr>
          <w:b/>
        </w:rPr>
        <w:t>21</w:t>
      </w:r>
    </w:p>
    <w:p w:rsidR="000B76AD" w:rsidRPr="00050C1F" w:rsidRDefault="000B76AD" w:rsidP="000B76AD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19. julij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0B76AD" w:rsidRDefault="000B76AD" w:rsidP="000B76A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predstavila sveženj ukrepov Pripravljeni na 55</w:t>
      </w:r>
    </w:p>
    <w:p w:rsidR="002849DC" w:rsidRPr="008C37B8" w:rsidRDefault="00C56055" w:rsidP="008C37B8">
      <w:pPr>
        <w:jc w:val="both"/>
        <w:rPr>
          <w:rFonts w:ascii="Arial" w:hAnsi="Arial" w:cs="Arial"/>
          <w:b/>
          <w:i/>
        </w:rPr>
      </w:pPr>
      <w:r w:rsidRPr="008C37B8">
        <w:rPr>
          <w:rFonts w:ascii="Arial" w:hAnsi="Arial" w:cs="Arial"/>
          <w:b/>
          <w:i/>
        </w:rPr>
        <w:t xml:space="preserve">Evropska komisija je predstavila sveženj ukrepov Pripravljeni na 55 za zmanjšanje neto izpustov toplogrednih plinov za vsaj 55 odstotkov do leta 2030 v primerjavi z ravnmi iz leta 1990. Med predlaganimi ukrepi so: uvedba trgovanja z izpusti v novih sektorjih in poostritev obstoječega sistema za trgovanje z izpusti, večja uporaba energije iz obnovljivih virov, večja energijska učinkovitost, hitrejše uvajanje </w:t>
      </w:r>
      <w:proofErr w:type="spellStart"/>
      <w:r w:rsidRPr="008C37B8">
        <w:rPr>
          <w:rFonts w:ascii="Arial" w:hAnsi="Arial" w:cs="Arial"/>
          <w:b/>
          <w:i/>
        </w:rPr>
        <w:t>nizkoemisijskih</w:t>
      </w:r>
      <w:proofErr w:type="spellEnd"/>
      <w:r w:rsidRPr="008C37B8">
        <w:rPr>
          <w:rFonts w:ascii="Arial" w:hAnsi="Arial" w:cs="Arial"/>
          <w:b/>
          <w:i/>
        </w:rPr>
        <w:t xml:space="preserve"> načinov prevoza, uskladitev davčnih politik s cilji evropskega zelenega dogovora, ukrepi za preprečevanje selitve virov CO2 ter orodja za ohranjanje in razširjanje naravnih ponorov ogljika.</w:t>
      </w:r>
    </w:p>
    <w:p w:rsidR="00C56055" w:rsidRPr="008C37B8" w:rsidRDefault="00C56055" w:rsidP="008C37B8">
      <w:pPr>
        <w:jc w:val="both"/>
        <w:rPr>
          <w:rFonts w:ascii="Arial" w:hAnsi="Arial" w:cs="Arial"/>
          <w:b/>
          <w:sz w:val="20"/>
          <w:szCs w:val="20"/>
        </w:rPr>
      </w:pPr>
      <w:r w:rsidRPr="008C37B8">
        <w:rPr>
          <w:rFonts w:ascii="Arial" w:hAnsi="Arial" w:cs="Arial"/>
          <w:b/>
          <w:sz w:val="20"/>
          <w:szCs w:val="20"/>
        </w:rPr>
        <w:t>Sistem za trgovanje z izpusti</w:t>
      </w:r>
    </w:p>
    <w:p w:rsidR="005D06B0" w:rsidRPr="008C37B8" w:rsidRDefault="00C56055" w:rsidP="008C37B8">
      <w:pPr>
        <w:jc w:val="both"/>
        <w:rPr>
          <w:rFonts w:ascii="Arial" w:hAnsi="Arial" w:cs="Arial"/>
          <w:sz w:val="20"/>
          <w:szCs w:val="20"/>
        </w:rPr>
      </w:pPr>
      <w:r w:rsidRPr="008C37B8">
        <w:rPr>
          <w:rFonts w:ascii="Arial" w:hAnsi="Arial" w:cs="Arial"/>
          <w:sz w:val="20"/>
          <w:szCs w:val="20"/>
        </w:rPr>
        <w:t>Evropska komisija predlaga znižanje zgornje meje skupnih izpustov in povečanje letne stopnje zmanjšanja. V sistem EU za trgovanje z izpusti naj bi se prvič vključili izpusti iz ladijskega prometa. Zaradi nezadostnega zmanjševanja izpustov iz cestnega prometa in stavb želi vzpostaviti nov ločen sistem trgovanja z izpusti za distribucijo goriva za cestni promet in stavbe. Poleg tega Komisija predlaga povečanje obsega skladov za inovacije in modernizacijo.</w:t>
      </w:r>
      <w:r w:rsidR="005D06B0" w:rsidRPr="008C37B8">
        <w:rPr>
          <w:rFonts w:ascii="Arial" w:hAnsi="Arial" w:cs="Arial"/>
          <w:sz w:val="20"/>
          <w:szCs w:val="20"/>
        </w:rPr>
        <w:t xml:space="preserve"> Države članice naj bi vse svoje prihodke iz trgovanja z izpusti porabile za podnebne in energetske projekte. </w:t>
      </w:r>
    </w:p>
    <w:p w:rsidR="005D06B0" w:rsidRPr="008C37B8" w:rsidRDefault="005D06B0" w:rsidP="008C37B8">
      <w:pPr>
        <w:jc w:val="both"/>
        <w:rPr>
          <w:rFonts w:ascii="Arial" w:hAnsi="Arial" w:cs="Arial"/>
          <w:b/>
          <w:sz w:val="20"/>
          <w:szCs w:val="20"/>
        </w:rPr>
      </w:pPr>
      <w:r w:rsidRPr="008C37B8">
        <w:rPr>
          <w:rFonts w:ascii="Arial" w:hAnsi="Arial" w:cs="Arial"/>
          <w:b/>
          <w:sz w:val="20"/>
          <w:szCs w:val="20"/>
        </w:rPr>
        <w:t>Zmanjševanje izpustov in naravni ponori</w:t>
      </w:r>
    </w:p>
    <w:p w:rsidR="009B701A" w:rsidRPr="008C37B8" w:rsidRDefault="005D06B0" w:rsidP="008C37B8">
      <w:pPr>
        <w:jc w:val="both"/>
        <w:rPr>
          <w:rFonts w:ascii="Arial" w:hAnsi="Arial" w:cs="Arial"/>
          <w:sz w:val="20"/>
          <w:szCs w:val="20"/>
        </w:rPr>
      </w:pPr>
      <w:r w:rsidRPr="008C37B8">
        <w:rPr>
          <w:rFonts w:ascii="Arial" w:hAnsi="Arial" w:cs="Arial"/>
          <w:sz w:val="20"/>
          <w:szCs w:val="20"/>
        </w:rPr>
        <w:t>Z uredbo o porazdelitvi prizadevanj bi vsaki državi članici dodelili višje cilje za zmanjšanje izpustov iz stavb, cestnega in domačega pomorskega prometa, kmetijstva, odpadkov in malih panog. V uredbi o rabi zemljišč, gozdarstvu in kmetijstvu je predlagana določitev splošnega cilja EU za odvzeme ogljika po naravnih ponorih v višini 310 milijonov ton emisij CO2 do leta 2030.</w:t>
      </w:r>
    </w:p>
    <w:p w:rsidR="005D06B0" w:rsidRPr="008C37B8" w:rsidRDefault="005D06B0" w:rsidP="008C37B8">
      <w:pPr>
        <w:jc w:val="both"/>
        <w:rPr>
          <w:rFonts w:ascii="Arial" w:hAnsi="Arial" w:cs="Arial"/>
          <w:b/>
          <w:sz w:val="20"/>
          <w:szCs w:val="20"/>
        </w:rPr>
      </w:pPr>
      <w:r w:rsidRPr="008C37B8">
        <w:rPr>
          <w:rFonts w:ascii="Arial" w:hAnsi="Arial" w:cs="Arial"/>
          <w:b/>
          <w:sz w:val="20"/>
          <w:szCs w:val="20"/>
        </w:rPr>
        <w:t>Spodbujanje izrabe obnovljivih virov energije</w:t>
      </w:r>
    </w:p>
    <w:p w:rsidR="005D06B0" w:rsidRPr="008C37B8" w:rsidRDefault="008F28DF" w:rsidP="008C37B8">
      <w:pPr>
        <w:jc w:val="both"/>
        <w:rPr>
          <w:rFonts w:ascii="Arial" w:hAnsi="Arial" w:cs="Arial"/>
          <w:sz w:val="20"/>
          <w:szCs w:val="20"/>
        </w:rPr>
      </w:pPr>
      <w:r w:rsidRPr="008C37B8">
        <w:rPr>
          <w:rFonts w:ascii="Arial" w:hAnsi="Arial" w:cs="Arial"/>
          <w:sz w:val="20"/>
          <w:szCs w:val="20"/>
        </w:rPr>
        <w:t>V predlogu za spremembo direktive o spodbujanju uporabe energije iz obnovljivih virov Evropska komisija predlaga nov cilj, po katerem  bi EU do leta 2030 iz obnovljivih virov pridobila 40 odstotkov energije. Predlaga tudi posebn</w:t>
      </w:r>
      <w:r w:rsidR="009F414B" w:rsidRPr="008C37B8">
        <w:rPr>
          <w:rFonts w:ascii="Arial" w:hAnsi="Arial" w:cs="Arial"/>
          <w:sz w:val="20"/>
          <w:szCs w:val="20"/>
        </w:rPr>
        <w:t>e</w:t>
      </w:r>
      <w:r w:rsidRPr="008C37B8">
        <w:rPr>
          <w:rFonts w:ascii="Arial" w:hAnsi="Arial" w:cs="Arial"/>
          <w:sz w:val="20"/>
          <w:szCs w:val="20"/>
        </w:rPr>
        <w:t xml:space="preserve"> cilj</w:t>
      </w:r>
      <w:r w:rsidR="009F414B" w:rsidRPr="008C37B8">
        <w:rPr>
          <w:rFonts w:ascii="Arial" w:hAnsi="Arial" w:cs="Arial"/>
          <w:sz w:val="20"/>
          <w:szCs w:val="20"/>
        </w:rPr>
        <w:t>e</w:t>
      </w:r>
      <w:r w:rsidRPr="008C37B8">
        <w:rPr>
          <w:rFonts w:ascii="Arial" w:hAnsi="Arial" w:cs="Arial"/>
          <w:sz w:val="20"/>
          <w:szCs w:val="20"/>
        </w:rPr>
        <w:t xml:space="preserve"> za uporabo energije iz obnovljivih virov v prometu, ogrevanju in hlajenju, stavbah in industriji.</w:t>
      </w:r>
      <w:r w:rsidR="009F414B" w:rsidRPr="008C37B8">
        <w:rPr>
          <w:rFonts w:ascii="Arial" w:hAnsi="Arial" w:cs="Arial"/>
          <w:sz w:val="20"/>
          <w:szCs w:val="20"/>
        </w:rPr>
        <w:t xml:space="preserve"> Pri oblikovanju programov podpore za bioenergijo pa bi države članice morale upoštevati načelo kaskadne uporabe lesne biomase.</w:t>
      </w:r>
    </w:p>
    <w:p w:rsidR="009F414B" w:rsidRPr="008C37B8" w:rsidRDefault="009F414B" w:rsidP="008C37B8">
      <w:pPr>
        <w:jc w:val="both"/>
        <w:rPr>
          <w:rFonts w:ascii="Arial" w:hAnsi="Arial" w:cs="Arial"/>
          <w:b/>
          <w:sz w:val="20"/>
          <w:szCs w:val="20"/>
        </w:rPr>
      </w:pPr>
      <w:r w:rsidRPr="008C37B8">
        <w:rPr>
          <w:rFonts w:ascii="Arial" w:hAnsi="Arial" w:cs="Arial"/>
          <w:b/>
          <w:sz w:val="20"/>
          <w:szCs w:val="20"/>
        </w:rPr>
        <w:t>Energetska učinkovitost</w:t>
      </w:r>
    </w:p>
    <w:p w:rsidR="009F414B" w:rsidRPr="008C37B8" w:rsidRDefault="009F414B" w:rsidP="008C37B8">
      <w:pPr>
        <w:jc w:val="both"/>
        <w:rPr>
          <w:rFonts w:ascii="Arial" w:hAnsi="Arial" w:cs="Arial"/>
          <w:sz w:val="20"/>
          <w:szCs w:val="20"/>
        </w:rPr>
      </w:pPr>
      <w:r w:rsidRPr="008C37B8">
        <w:rPr>
          <w:rFonts w:ascii="Arial" w:hAnsi="Arial" w:cs="Arial"/>
          <w:sz w:val="20"/>
          <w:szCs w:val="20"/>
        </w:rPr>
        <w:t>Predlagana je skoraj dvakrat višja obveznost držav članic glede letnih prihrankov energije in višji obvezujoči cilj  za zmanjšanje porabe energije v EU. V javnem sektorju bi bilo treba vsako leto prenoviti 3 odstotke stavb.</w:t>
      </w:r>
    </w:p>
    <w:p w:rsidR="009F414B" w:rsidRPr="008C37B8" w:rsidRDefault="009F414B" w:rsidP="008C37B8">
      <w:pPr>
        <w:jc w:val="both"/>
        <w:rPr>
          <w:rFonts w:ascii="Arial" w:hAnsi="Arial" w:cs="Arial"/>
          <w:b/>
          <w:sz w:val="20"/>
          <w:szCs w:val="20"/>
        </w:rPr>
      </w:pPr>
      <w:r w:rsidRPr="008C37B8">
        <w:rPr>
          <w:rFonts w:ascii="Arial" w:hAnsi="Arial" w:cs="Arial"/>
          <w:b/>
          <w:sz w:val="20"/>
          <w:szCs w:val="20"/>
        </w:rPr>
        <w:lastRenderedPageBreak/>
        <w:t>Promet</w:t>
      </w:r>
    </w:p>
    <w:p w:rsidR="00BC6E78" w:rsidRPr="008C37B8" w:rsidRDefault="00BB0D2A" w:rsidP="008C37B8">
      <w:pPr>
        <w:jc w:val="both"/>
        <w:rPr>
          <w:rFonts w:ascii="Arial" w:hAnsi="Arial" w:cs="Arial"/>
          <w:sz w:val="20"/>
          <w:szCs w:val="20"/>
        </w:rPr>
      </w:pPr>
      <w:r w:rsidRPr="008C37B8">
        <w:rPr>
          <w:rFonts w:ascii="Arial" w:hAnsi="Arial" w:cs="Arial"/>
          <w:sz w:val="20"/>
          <w:szCs w:val="20"/>
        </w:rPr>
        <w:t xml:space="preserve">Povprečne izpuste iz novih avtomobilov bo treba zmanjšati za 55 odstotkov od leta 2030 in 100 odstotkov od leta 2035 v primerjavi z ravnmi iz leta 2021. Za polnjenje novih </w:t>
      </w:r>
      <w:proofErr w:type="spellStart"/>
      <w:r w:rsidRPr="008C37B8">
        <w:rPr>
          <w:rFonts w:ascii="Arial" w:hAnsi="Arial" w:cs="Arial"/>
          <w:sz w:val="20"/>
          <w:szCs w:val="20"/>
        </w:rPr>
        <w:t>brezemisijskih</w:t>
      </w:r>
      <w:proofErr w:type="spellEnd"/>
      <w:r w:rsidRPr="008C37B8">
        <w:rPr>
          <w:rFonts w:ascii="Arial" w:hAnsi="Arial" w:cs="Arial"/>
          <w:sz w:val="20"/>
          <w:szCs w:val="20"/>
        </w:rPr>
        <w:t xml:space="preserve"> vozil bodo države članice morale v skladu z revidirano uredbo o infrastrukturi za alternativna goriva ob glavnih avtocestah  električna polnilna mesta postaviti na vsakih 60 kilometrov, oskrbovalna mesta za vodik pa na vsakih 150 kilometrov. </w:t>
      </w:r>
      <w:r w:rsidR="00BC6E78" w:rsidRPr="008C37B8">
        <w:rPr>
          <w:rFonts w:ascii="Arial" w:hAnsi="Arial" w:cs="Arial"/>
          <w:sz w:val="20"/>
          <w:szCs w:val="20"/>
        </w:rPr>
        <w:t xml:space="preserve"> V skladu z uredbo o infrastrukturi za alternativna goriva bodo morali imeti zrakoplovi in ladje dostop do oskrbe s čisto električno energijo v večjih pristaniščih in na večjih letališčih.</w:t>
      </w:r>
    </w:p>
    <w:p w:rsidR="00BC6E78" w:rsidRPr="008C37B8" w:rsidRDefault="00BC6E78" w:rsidP="008C37B8">
      <w:pPr>
        <w:jc w:val="both"/>
        <w:rPr>
          <w:rFonts w:ascii="Arial" w:hAnsi="Arial" w:cs="Arial"/>
          <w:b/>
          <w:sz w:val="20"/>
          <w:szCs w:val="20"/>
        </w:rPr>
      </w:pPr>
      <w:r w:rsidRPr="008C37B8">
        <w:rPr>
          <w:rFonts w:ascii="Arial" w:hAnsi="Arial" w:cs="Arial"/>
          <w:b/>
          <w:sz w:val="20"/>
          <w:szCs w:val="20"/>
        </w:rPr>
        <w:t>Obdavčitev energentov</w:t>
      </w:r>
    </w:p>
    <w:p w:rsidR="00903FDD" w:rsidRPr="008C37B8" w:rsidRDefault="008C40FD" w:rsidP="008C3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revizijo direktive</w:t>
      </w:r>
      <w:r w:rsidR="00903FDD" w:rsidRPr="008C37B8">
        <w:rPr>
          <w:rFonts w:ascii="Arial" w:hAnsi="Arial" w:cs="Arial"/>
          <w:sz w:val="20"/>
          <w:szCs w:val="20"/>
        </w:rPr>
        <w:t xml:space="preserve"> obdavčitvi energije bo Evropska komisija predlagala uskladitev obdavčitve energentov z energetsko in podnebno politiko EU. Spodbujale se bodo čiste tehnologije ter črtale zastarele izjeme in znižane stopnje, ki trenutno spodbujajo uporabo fosilnih goriv. </w:t>
      </w:r>
    </w:p>
    <w:p w:rsidR="00903FDD" w:rsidRPr="008C40FD" w:rsidRDefault="00903FDD" w:rsidP="008C37B8">
      <w:pPr>
        <w:jc w:val="both"/>
        <w:rPr>
          <w:rFonts w:ascii="Arial" w:hAnsi="Arial" w:cs="Arial"/>
          <w:b/>
          <w:sz w:val="20"/>
          <w:szCs w:val="20"/>
        </w:rPr>
      </w:pPr>
      <w:r w:rsidRPr="008C40FD">
        <w:rPr>
          <w:rFonts w:ascii="Arial" w:hAnsi="Arial" w:cs="Arial"/>
          <w:b/>
          <w:sz w:val="20"/>
          <w:szCs w:val="20"/>
        </w:rPr>
        <w:t xml:space="preserve">Mehanizem za </w:t>
      </w:r>
      <w:proofErr w:type="spellStart"/>
      <w:r w:rsidRPr="008C40FD">
        <w:rPr>
          <w:rFonts w:ascii="Arial" w:hAnsi="Arial" w:cs="Arial"/>
          <w:b/>
          <w:sz w:val="20"/>
          <w:szCs w:val="20"/>
        </w:rPr>
        <w:t>ogljično</w:t>
      </w:r>
      <w:proofErr w:type="spellEnd"/>
      <w:r w:rsidRPr="008C40FD">
        <w:rPr>
          <w:rFonts w:ascii="Arial" w:hAnsi="Arial" w:cs="Arial"/>
          <w:b/>
          <w:sz w:val="20"/>
          <w:szCs w:val="20"/>
        </w:rPr>
        <w:t xml:space="preserve"> prilagoditev na mejah</w:t>
      </w:r>
    </w:p>
    <w:p w:rsidR="00903FDD" w:rsidRPr="008C37B8" w:rsidRDefault="00903FDD" w:rsidP="008C37B8">
      <w:pPr>
        <w:jc w:val="both"/>
        <w:rPr>
          <w:rFonts w:ascii="Arial" w:hAnsi="Arial" w:cs="Arial"/>
          <w:sz w:val="20"/>
          <w:szCs w:val="20"/>
        </w:rPr>
      </w:pPr>
      <w:r w:rsidRPr="008C37B8">
        <w:rPr>
          <w:rFonts w:ascii="Arial" w:hAnsi="Arial" w:cs="Arial"/>
          <w:sz w:val="20"/>
          <w:szCs w:val="20"/>
        </w:rPr>
        <w:t xml:space="preserve">Z novim mehanizmom za </w:t>
      </w:r>
      <w:proofErr w:type="spellStart"/>
      <w:r w:rsidRPr="008C37B8">
        <w:rPr>
          <w:rFonts w:ascii="Arial" w:hAnsi="Arial" w:cs="Arial"/>
          <w:sz w:val="20"/>
          <w:szCs w:val="20"/>
        </w:rPr>
        <w:t>ogljično</w:t>
      </w:r>
      <w:proofErr w:type="spellEnd"/>
      <w:r w:rsidRPr="008C37B8">
        <w:rPr>
          <w:rFonts w:ascii="Arial" w:hAnsi="Arial" w:cs="Arial"/>
          <w:sz w:val="20"/>
          <w:szCs w:val="20"/>
        </w:rPr>
        <w:t xml:space="preserve"> prilagoditev na mejah bi določili cene ogljika za uvoz izbranih proizvodov z namenom preprečiti selitev </w:t>
      </w:r>
      <w:proofErr w:type="spellStart"/>
      <w:r w:rsidRPr="008C37B8">
        <w:rPr>
          <w:rFonts w:ascii="Arial" w:hAnsi="Arial" w:cs="Arial"/>
          <w:sz w:val="20"/>
          <w:szCs w:val="20"/>
        </w:rPr>
        <w:t>ogljično</w:t>
      </w:r>
      <w:proofErr w:type="spellEnd"/>
      <w:r w:rsidRPr="008C37B8">
        <w:rPr>
          <w:rFonts w:ascii="Arial" w:hAnsi="Arial" w:cs="Arial"/>
          <w:sz w:val="20"/>
          <w:szCs w:val="20"/>
        </w:rPr>
        <w:t xml:space="preserve"> intenzivne proizvodnje iz Evrope. </w:t>
      </w:r>
    </w:p>
    <w:p w:rsidR="00903FDD" w:rsidRPr="008C40FD" w:rsidRDefault="00903FDD" w:rsidP="008C37B8">
      <w:pPr>
        <w:jc w:val="both"/>
        <w:rPr>
          <w:rFonts w:ascii="Arial" w:hAnsi="Arial" w:cs="Arial"/>
          <w:b/>
          <w:sz w:val="20"/>
          <w:szCs w:val="20"/>
        </w:rPr>
      </w:pPr>
      <w:r w:rsidRPr="008C40FD">
        <w:rPr>
          <w:rFonts w:ascii="Arial" w:hAnsi="Arial" w:cs="Arial"/>
          <w:b/>
          <w:sz w:val="20"/>
          <w:szCs w:val="20"/>
        </w:rPr>
        <w:t>Socialni sklad</w:t>
      </w:r>
    </w:p>
    <w:p w:rsidR="00903FDD" w:rsidRPr="008C37B8" w:rsidRDefault="00903FDD" w:rsidP="008C37B8">
      <w:pPr>
        <w:jc w:val="both"/>
        <w:rPr>
          <w:rFonts w:ascii="Arial" w:hAnsi="Arial" w:cs="Arial"/>
          <w:sz w:val="20"/>
          <w:szCs w:val="20"/>
        </w:rPr>
      </w:pPr>
      <w:r w:rsidRPr="008C37B8">
        <w:rPr>
          <w:rFonts w:ascii="Arial" w:hAnsi="Arial" w:cs="Arial"/>
          <w:sz w:val="20"/>
          <w:szCs w:val="20"/>
        </w:rPr>
        <w:t>Predlagan je nov socialni sklad za podnebje, v katerem se bodo nabirala sredstva s katerimi bodo lahko države državljanom pomagale pri financiranju naložb v energijsko učinkovitost, nove ogrevalne in hladilne sisteme ter čistejšo mobilnost.</w:t>
      </w:r>
    </w:p>
    <w:p w:rsidR="00903FDD" w:rsidRPr="008C40FD" w:rsidRDefault="00903FDD" w:rsidP="008C37B8">
      <w:pPr>
        <w:jc w:val="both"/>
        <w:rPr>
          <w:rFonts w:ascii="Arial" w:hAnsi="Arial" w:cs="Arial"/>
          <w:b/>
          <w:sz w:val="20"/>
          <w:szCs w:val="20"/>
        </w:rPr>
      </w:pPr>
      <w:r w:rsidRPr="008C40FD">
        <w:rPr>
          <w:rFonts w:ascii="Arial" w:hAnsi="Arial" w:cs="Arial"/>
          <w:b/>
          <w:sz w:val="20"/>
          <w:szCs w:val="20"/>
        </w:rPr>
        <w:t>Koristne informacije:</w:t>
      </w:r>
    </w:p>
    <w:p w:rsidR="00903FDD" w:rsidRPr="008C40FD" w:rsidRDefault="008C37B8" w:rsidP="008C40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40FD">
        <w:rPr>
          <w:rFonts w:ascii="Arial" w:hAnsi="Arial" w:cs="Arial"/>
          <w:sz w:val="20"/>
          <w:szCs w:val="20"/>
        </w:rPr>
        <w:t>Sporočilo Pripravljeni na 55:</w:t>
      </w:r>
    </w:p>
    <w:p w:rsidR="008C37B8" w:rsidRPr="008C40FD" w:rsidRDefault="008C37B8" w:rsidP="008C40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C40FD">
          <w:rPr>
            <w:rStyle w:val="Hiperpovezava"/>
            <w:rFonts w:ascii="Arial" w:hAnsi="Arial" w:cs="Arial"/>
            <w:sz w:val="20"/>
            <w:szCs w:val="20"/>
          </w:rPr>
          <w:t>https://ec.europa.eu/info/files/communication-fit-55-delivering-eus-2030-climate-target-way-climate-neutrality_sl</w:t>
        </w:r>
      </w:hyperlink>
    </w:p>
    <w:p w:rsidR="008C37B8" w:rsidRPr="008C40FD" w:rsidRDefault="008C37B8" w:rsidP="008C40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40FD">
        <w:rPr>
          <w:rFonts w:ascii="Arial" w:hAnsi="Arial" w:cs="Arial"/>
          <w:sz w:val="20"/>
          <w:szCs w:val="20"/>
        </w:rPr>
        <w:t>Spletna stran o uresničevanju evropskega zelenega dogovora z zakonodajnimi predlogi za uresničitev ciljev Pripravljeni na 55:</w:t>
      </w:r>
    </w:p>
    <w:p w:rsidR="008C37B8" w:rsidRPr="008C40FD" w:rsidRDefault="008C37B8" w:rsidP="008C40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8C40FD">
          <w:rPr>
            <w:rStyle w:val="Hiperpovezava"/>
            <w:rFonts w:ascii="Arial" w:hAnsi="Arial" w:cs="Arial"/>
            <w:sz w:val="20"/>
            <w:szCs w:val="20"/>
          </w:rPr>
          <w:t>https://ec.europa.eu/info/strategy/priorities-2019-2024/european-green-deal/delivering-european-green-deal_sl</w:t>
        </w:r>
      </w:hyperlink>
    </w:p>
    <w:p w:rsidR="008C37B8" w:rsidRPr="008C37B8" w:rsidRDefault="008C37B8" w:rsidP="008C40F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37B8">
        <w:rPr>
          <w:rFonts w:ascii="Arial" w:hAnsi="Arial" w:cs="Arial"/>
          <w:sz w:val="20"/>
          <w:szCs w:val="20"/>
        </w:rPr>
        <w:t>Pripravila:</w:t>
      </w:r>
    </w:p>
    <w:p w:rsidR="008C37B8" w:rsidRPr="008C37B8" w:rsidRDefault="008C37B8" w:rsidP="008C40F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37B8">
        <w:rPr>
          <w:rFonts w:ascii="Arial" w:hAnsi="Arial" w:cs="Arial"/>
          <w:sz w:val="20"/>
          <w:szCs w:val="20"/>
        </w:rPr>
        <w:t>Darja Kocbek</w:t>
      </w:r>
    </w:p>
    <w:p w:rsidR="008C37B8" w:rsidRDefault="008C37B8" w:rsidP="008C40FD">
      <w:pPr>
        <w:spacing w:after="0"/>
      </w:pPr>
    </w:p>
    <w:p w:rsidR="008C37B8" w:rsidRDefault="008C37B8" w:rsidP="005D06B0"/>
    <w:p w:rsidR="00903FDD" w:rsidRPr="005D06B0" w:rsidRDefault="00903FDD" w:rsidP="005D06B0"/>
    <w:sectPr w:rsidR="00903FDD" w:rsidRPr="005D06B0" w:rsidSect="0028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131FE"/>
    <w:multiLevelType w:val="hybridMultilevel"/>
    <w:tmpl w:val="3CAE4A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6055"/>
    <w:rsid w:val="000B76AD"/>
    <w:rsid w:val="002849DC"/>
    <w:rsid w:val="005D06B0"/>
    <w:rsid w:val="008C37B8"/>
    <w:rsid w:val="008C40FD"/>
    <w:rsid w:val="008F28DF"/>
    <w:rsid w:val="00903FDD"/>
    <w:rsid w:val="009B701A"/>
    <w:rsid w:val="009F414B"/>
    <w:rsid w:val="00BB0D2A"/>
    <w:rsid w:val="00BC6E78"/>
    <w:rsid w:val="00C5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49DC"/>
  </w:style>
  <w:style w:type="paragraph" w:styleId="Naslov2">
    <w:name w:val="heading 2"/>
    <w:basedOn w:val="Navaden"/>
    <w:link w:val="Naslov2Znak"/>
    <w:uiPriority w:val="9"/>
    <w:qFormat/>
    <w:rsid w:val="000B7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5605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C56055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8C37B8"/>
    <w:rPr>
      <w:i/>
      <w:iCs/>
    </w:rPr>
  </w:style>
  <w:style w:type="paragraph" w:styleId="Odstavekseznama">
    <w:name w:val="List Paragraph"/>
    <w:basedOn w:val="Navaden"/>
    <w:uiPriority w:val="34"/>
    <w:qFormat/>
    <w:rsid w:val="008C40F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0B76A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7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strategy/priorities-2019-2024/european-green-deal/delivering-european-green-deal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iles/communication-fit-55-delivering-eus-2030-climate-target-way-climate-neutrality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2021-07-14T18:47:00Z</dcterms:created>
  <dcterms:modified xsi:type="dcterms:W3CDTF">2021-07-14T19:33:00Z</dcterms:modified>
</cp:coreProperties>
</file>