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3A" w:rsidRPr="00467345" w:rsidRDefault="0013513A" w:rsidP="0013513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3513A" w:rsidRPr="00083714" w:rsidRDefault="0013513A" w:rsidP="0013513A">
      <w:pPr>
        <w:pStyle w:val="Naslov2"/>
        <w:tabs>
          <w:tab w:val="left" w:pos="3120"/>
        </w:tabs>
        <w:spacing w:before="240"/>
        <w:jc w:val="center"/>
        <w:rPr>
          <w:b w:val="0"/>
          <w:bCs w:val="0"/>
          <w:i/>
          <w:iCs/>
          <w:sz w:val="22"/>
        </w:rPr>
      </w:pPr>
      <w:r w:rsidRPr="00083714">
        <w:rPr>
          <w:sz w:val="22"/>
        </w:rPr>
        <w:t>Slovensko gospodarsko in raziskovalno združenje, Bruselj</w:t>
      </w:r>
    </w:p>
    <w:p w:rsidR="0013513A" w:rsidRPr="00083714" w:rsidRDefault="0013513A" w:rsidP="0013513A">
      <w:pPr>
        <w:pBdr>
          <w:bottom w:val="single" w:sz="6" w:space="1" w:color="auto"/>
        </w:pBdr>
        <w:tabs>
          <w:tab w:val="left" w:pos="3120"/>
        </w:tabs>
        <w:spacing w:before="240"/>
        <w:rPr>
          <w:sz w:val="16"/>
          <w:szCs w:val="16"/>
        </w:rPr>
      </w:pPr>
    </w:p>
    <w:p w:rsidR="0013513A" w:rsidRDefault="0013513A" w:rsidP="0013513A">
      <w:pPr>
        <w:tabs>
          <w:tab w:val="left" w:pos="3120"/>
        </w:tabs>
        <w:spacing w:before="240"/>
        <w:rPr>
          <w:b/>
        </w:rPr>
      </w:pPr>
      <w:r w:rsidRPr="00083714">
        <w:rPr>
          <w:b/>
        </w:rPr>
        <w:tab/>
      </w:r>
      <w:r>
        <w:rPr>
          <w:b/>
        </w:rPr>
        <w:t xml:space="preserve">Občasna informacija članom 120 </w:t>
      </w:r>
      <w:r w:rsidRPr="00083714">
        <w:rPr>
          <w:b/>
        </w:rPr>
        <w:t>– 20</w:t>
      </w:r>
      <w:r>
        <w:rPr>
          <w:b/>
        </w:rPr>
        <w:t>22</w:t>
      </w:r>
    </w:p>
    <w:p w:rsidR="0013513A" w:rsidRPr="0002310E" w:rsidRDefault="0013513A" w:rsidP="0013513A">
      <w:pPr>
        <w:tabs>
          <w:tab w:val="left" w:pos="3120"/>
        </w:tabs>
        <w:spacing w:before="240"/>
        <w:jc w:val="center"/>
        <w:rPr>
          <w:b/>
        </w:rPr>
      </w:pPr>
      <w:r>
        <w:rPr>
          <w:b/>
        </w:rPr>
        <w:t xml:space="preserve">18. julij </w:t>
      </w:r>
      <w:r w:rsidRPr="00083714">
        <w:rPr>
          <w:b/>
        </w:rPr>
        <w:t xml:space="preserve"> 20</w:t>
      </w:r>
      <w:r>
        <w:rPr>
          <w:b/>
        </w:rPr>
        <w:t>22</w:t>
      </w:r>
    </w:p>
    <w:p w:rsidR="006D2389" w:rsidRDefault="0013513A" w:rsidP="0013513A">
      <w:pPr>
        <w:jc w:val="center"/>
        <w:rPr>
          <w:rFonts w:ascii="Arial" w:hAnsi="Arial" w:cs="Arial"/>
          <w:b/>
          <w:i/>
        </w:rPr>
      </w:pPr>
      <w:r>
        <w:rPr>
          <w:b/>
          <w:color w:val="993300"/>
          <w:sz w:val="32"/>
          <w:szCs w:val="32"/>
        </w:rPr>
        <w:t>Sklepi konference o pomenu čezmejnih regij</w:t>
      </w:r>
    </w:p>
    <w:p w:rsidR="00193753" w:rsidRPr="006D2389" w:rsidRDefault="00AE194A" w:rsidP="006D2389">
      <w:pPr>
        <w:jc w:val="both"/>
        <w:rPr>
          <w:rFonts w:ascii="Arial" w:hAnsi="Arial" w:cs="Arial"/>
          <w:b/>
          <w:i/>
        </w:rPr>
      </w:pPr>
      <w:r w:rsidRPr="006D2389">
        <w:rPr>
          <w:rFonts w:ascii="Arial" w:hAnsi="Arial" w:cs="Arial"/>
          <w:b/>
          <w:i/>
        </w:rPr>
        <w:t xml:space="preserve">Čezmejnim regijam je treba zaradi njihovega pomena za evropsko integracijo in razvoj zagotoviti več svobode pri sprejemanju odločitev in  izvajanju projektov, je bilo eno od sporočil konference »Čezmejna ozemlja: fatalizem ali odpornost?«, </w:t>
      </w:r>
      <w:r w:rsidR="00EE61FD" w:rsidRPr="006D2389">
        <w:rPr>
          <w:rFonts w:ascii="Arial" w:hAnsi="Arial" w:cs="Arial"/>
          <w:b/>
          <w:i/>
        </w:rPr>
        <w:t xml:space="preserve">ki je bila 21. in 22. junija v Parizu. </w:t>
      </w:r>
      <w:r w:rsidRPr="006D2389">
        <w:rPr>
          <w:rFonts w:ascii="Arial" w:hAnsi="Arial" w:cs="Arial"/>
          <w:b/>
          <w:i/>
        </w:rPr>
        <w:t xml:space="preserve"> </w:t>
      </w:r>
      <w:r w:rsidR="007072A7" w:rsidRPr="006D2389">
        <w:rPr>
          <w:rFonts w:ascii="Arial" w:hAnsi="Arial" w:cs="Arial"/>
          <w:b/>
          <w:i/>
        </w:rPr>
        <w:t xml:space="preserve">Evropska komisija v poročilu o </w:t>
      </w:r>
      <w:r w:rsidR="0013513A">
        <w:rPr>
          <w:rFonts w:ascii="Arial" w:hAnsi="Arial" w:cs="Arial"/>
          <w:b/>
          <w:i/>
        </w:rPr>
        <w:t>čezmejnih</w:t>
      </w:r>
      <w:r w:rsidR="007072A7" w:rsidRPr="006D2389">
        <w:rPr>
          <w:rFonts w:ascii="Arial" w:hAnsi="Arial" w:cs="Arial"/>
          <w:b/>
          <w:i/>
        </w:rPr>
        <w:t xml:space="preserve"> regijah EU</w:t>
      </w:r>
      <w:r w:rsidR="001F2D56" w:rsidRPr="006D2389">
        <w:rPr>
          <w:rFonts w:ascii="Arial" w:hAnsi="Arial" w:cs="Arial"/>
          <w:b/>
          <w:i/>
        </w:rPr>
        <w:t xml:space="preserve"> iz leta 2021</w:t>
      </w:r>
      <w:r w:rsidR="007072A7" w:rsidRPr="006D2389">
        <w:rPr>
          <w:rFonts w:ascii="Arial" w:hAnsi="Arial" w:cs="Arial"/>
          <w:b/>
          <w:i/>
        </w:rPr>
        <w:t xml:space="preserve"> predlaga, da je treba prizadevanja za izboljšanje čezmejnega sodelovanja osredotočiti na štiri področja: odpornost s poglobljenim institucionalnim sodelovanjem, več in boljše čezmejne javne storitve, dinamični čezmejni trgi dela in obmejne regije za zeleni dogovor. </w:t>
      </w:r>
    </w:p>
    <w:p w:rsidR="001F2D56" w:rsidRPr="006D2389" w:rsidRDefault="001F2D56" w:rsidP="006D2389">
      <w:pPr>
        <w:jc w:val="both"/>
        <w:rPr>
          <w:rFonts w:ascii="Arial" w:hAnsi="Arial" w:cs="Arial"/>
          <w:sz w:val="20"/>
          <w:szCs w:val="20"/>
        </w:rPr>
      </w:pPr>
      <w:r w:rsidRPr="006D2389">
        <w:rPr>
          <w:rFonts w:ascii="Arial" w:hAnsi="Arial" w:cs="Arial"/>
          <w:sz w:val="20"/>
          <w:szCs w:val="20"/>
        </w:rPr>
        <w:t xml:space="preserve">Med državami EU že obstajajo številne uradne strukture in sporazumi za spodbujanje </w:t>
      </w:r>
      <w:r w:rsidR="004E5A30" w:rsidRPr="006D2389">
        <w:rPr>
          <w:rFonts w:ascii="Arial" w:hAnsi="Arial" w:cs="Arial"/>
          <w:sz w:val="20"/>
          <w:szCs w:val="20"/>
        </w:rPr>
        <w:t>čezmejnega</w:t>
      </w:r>
      <w:r w:rsidRPr="006D2389">
        <w:rPr>
          <w:rFonts w:ascii="Arial" w:hAnsi="Arial" w:cs="Arial"/>
          <w:sz w:val="20"/>
          <w:szCs w:val="20"/>
        </w:rPr>
        <w:t xml:space="preserve"> sodelovanja. Med njimi so mehanizem EU na področju civilne zaščite ter pogodbe iz Aachna in </w:t>
      </w:r>
      <w:proofErr w:type="spellStart"/>
      <w:r w:rsidRPr="006D2389">
        <w:rPr>
          <w:rFonts w:ascii="Arial" w:hAnsi="Arial" w:cs="Arial"/>
          <w:sz w:val="20"/>
          <w:szCs w:val="20"/>
        </w:rPr>
        <w:t>Quirinala</w:t>
      </w:r>
      <w:proofErr w:type="spellEnd"/>
      <w:r w:rsidRPr="006D2389">
        <w:rPr>
          <w:rFonts w:ascii="Arial" w:hAnsi="Arial" w:cs="Arial"/>
          <w:sz w:val="20"/>
          <w:szCs w:val="20"/>
        </w:rPr>
        <w:t xml:space="preserve"> med Francijo in Nemčijo oziroma Italijo, Unija Beneluksa in Svet za prosto gibanje med nordijskimi državami.</w:t>
      </w:r>
      <w:r w:rsidR="004E5A30" w:rsidRPr="006D2389">
        <w:rPr>
          <w:rFonts w:ascii="Arial" w:hAnsi="Arial" w:cs="Arial"/>
          <w:sz w:val="20"/>
          <w:szCs w:val="20"/>
        </w:rPr>
        <w:t xml:space="preserve"> Ti</w:t>
      </w:r>
      <w:r w:rsidRPr="006D2389">
        <w:rPr>
          <w:rFonts w:ascii="Arial" w:hAnsi="Arial" w:cs="Arial"/>
          <w:sz w:val="20"/>
          <w:szCs w:val="20"/>
        </w:rPr>
        <w:t xml:space="preserve"> sporazumi o sodelovanju med čezmejnimi skupnostmi niso bili dovolj vključeni v formalno institucionalno strukturo</w:t>
      </w:r>
      <w:r w:rsidR="004E5A30" w:rsidRPr="006D2389">
        <w:rPr>
          <w:rFonts w:ascii="Arial" w:hAnsi="Arial" w:cs="Arial"/>
          <w:sz w:val="20"/>
          <w:szCs w:val="20"/>
        </w:rPr>
        <w:t xml:space="preserve"> EU</w:t>
      </w:r>
      <w:r w:rsidRPr="006D2389">
        <w:rPr>
          <w:rFonts w:ascii="Arial" w:hAnsi="Arial" w:cs="Arial"/>
          <w:sz w:val="20"/>
          <w:szCs w:val="20"/>
        </w:rPr>
        <w:t xml:space="preserve">. </w:t>
      </w:r>
    </w:p>
    <w:p w:rsidR="001F2D56" w:rsidRPr="006D2389" w:rsidRDefault="004E5A30" w:rsidP="006D2389">
      <w:pPr>
        <w:jc w:val="both"/>
        <w:rPr>
          <w:rFonts w:ascii="Arial" w:hAnsi="Arial" w:cs="Arial"/>
          <w:sz w:val="20"/>
          <w:szCs w:val="20"/>
        </w:rPr>
      </w:pPr>
      <w:r w:rsidRPr="006D2389">
        <w:rPr>
          <w:rFonts w:ascii="Arial" w:hAnsi="Arial" w:cs="Arial"/>
          <w:sz w:val="20"/>
          <w:szCs w:val="20"/>
        </w:rPr>
        <w:t>Evropska komisija v p</w:t>
      </w:r>
      <w:r w:rsidR="001F2D56" w:rsidRPr="006D2389">
        <w:rPr>
          <w:rFonts w:ascii="Arial" w:hAnsi="Arial" w:cs="Arial"/>
          <w:sz w:val="20"/>
          <w:szCs w:val="20"/>
        </w:rPr>
        <w:t>oročil</w:t>
      </w:r>
      <w:r w:rsidRPr="006D2389">
        <w:rPr>
          <w:rFonts w:ascii="Arial" w:hAnsi="Arial" w:cs="Arial"/>
          <w:sz w:val="20"/>
          <w:szCs w:val="20"/>
        </w:rPr>
        <w:t>u</w:t>
      </w:r>
      <w:r w:rsidR="001F2D56" w:rsidRPr="006D2389">
        <w:rPr>
          <w:rFonts w:ascii="Arial" w:hAnsi="Arial" w:cs="Arial"/>
          <w:sz w:val="20"/>
          <w:szCs w:val="20"/>
        </w:rPr>
        <w:t xml:space="preserve"> o obmejnih regijah ugotavlja, da je stopnja odpornosti obmejnih območij v veliki meri odvisna od institucionalne ureditve in stopnje pripravljenosti. Priložnosti za sodelovanje s sosedi pri razvoju čezmejnih regij pogosto ovirajo nezdružljivi pravni okviri. Vendar so za premagovanje takšnih izzivov pogosto pristojni </w:t>
      </w:r>
      <w:r w:rsidRPr="006D2389">
        <w:rPr>
          <w:rFonts w:ascii="Arial" w:hAnsi="Arial" w:cs="Arial"/>
          <w:sz w:val="20"/>
          <w:szCs w:val="20"/>
        </w:rPr>
        <w:t xml:space="preserve">organi </w:t>
      </w:r>
      <w:r w:rsidR="001F2D56" w:rsidRPr="006D2389">
        <w:rPr>
          <w:rFonts w:ascii="Arial" w:hAnsi="Arial" w:cs="Arial"/>
          <w:sz w:val="20"/>
          <w:szCs w:val="20"/>
        </w:rPr>
        <w:t>na nacionalni ravni.</w:t>
      </w:r>
    </w:p>
    <w:p w:rsidR="001F2D56" w:rsidRPr="006D2389" w:rsidRDefault="001F2D56" w:rsidP="006D2389">
      <w:pPr>
        <w:jc w:val="both"/>
        <w:rPr>
          <w:rFonts w:ascii="Arial" w:hAnsi="Arial" w:cs="Arial"/>
          <w:sz w:val="20"/>
          <w:szCs w:val="20"/>
        </w:rPr>
      </w:pPr>
      <w:r w:rsidRPr="006D2389">
        <w:rPr>
          <w:rFonts w:ascii="Arial" w:hAnsi="Arial" w:cs="Arial"/>
          <w:sz w:val="20"/>
          <w:szCs w:val="20"/>
        </w:rPr>
        <w:t xml:space="preserve">Za spodbujanje razvoja čezmejnih regij je treba lokalnim, regionalnim in nacionalnim organom dati na voljo različna orodja. Evropska komisija je kot eno od takih orodij predlagala </w:t>
      </w:r>
      <w:r w:rsidR="004E5A30" w:rsidRPr="006D2389">
        <w:rPr>
          <w:rFonts w:ascii="Arial" w:hAnsi="Arial" w:cs="Arial"/>
          <w:sz w:val="20"/>
          <w:szCs w:val="20"/>
        </w:rPr>
        <w:t>Mehanizem za reševanje pravnih in upravnih ovir za čezmejno sodelovanje (ECBM)</w:t>
      </w:r>
      <w:r w:rsidRPr="006D2389">
        <w:rPr>
          <w:rFonts w:ascii="Arial" w:hAnsi="Arial" w:cs="Arial"/>
          <w:sz w:val="20"/>
          <w:szCs w:val="20"/>
        </w:rPr>
        <w:t>.</w:t>
      </w:r>
      <w:r w:rsidR="004E5A30" w:rsidRPr="006D2389">
        <w:rPr>
          <w:rFonts w:ascii="Arial" w:hAnsi="Arial" w:cs="Arial"/>
          <w:sz w:val="20"/>
          <w:szCs w:val="20"/>
        </w:rPr>
        <w:t xml:space="preserve"> </w:t>
      </w:r>
      <w:r w:rsidRPr="006D2389">
        <w:rPr>
          <w:rFonts w:ascii="Arial" w:hAnsi="Arial" w:cs="Arial"/>
          <w:sz w:val="20"/>
          <w:szCs w:val="20"/>
        </w:rPr>
        <w:t>Omog</w:t>
      </w:r>
      <w:r w:rsidR="004E5A30" w:rsidRPr="006D2389">
        <w:rPr>
          <w:rFonts w:ascii="Arial" w:hAnsi="Arial" w:cs="Arial"/>
          <w:sz w:val="20"/>
          <w:szCs w:val="20"/>
        </w:rPr>
        <w:t>očil naj</w:t>
      </w:r>
      <w:r w:rsidRPr="006D2389">
        <w:rPr>
          <w:rFonts w:ascii="Arial" w:hAnsi="Arial" w:cs="Arial"/>
          <w:sz w:val="20"/>
          <w:szCs w:val="20"/>
        </w:rPr>
        <w:t xml:space="preserve"> bi odstopanje od nacionalne zakonodaje pri določenih projektih ali storitvah, kar bi omogočilo uporabo enotnega sklopa pravil v čezmejni regiji. </w:t>
      </w:r>
    </w:p>
    <w:p w:rsidR="001F2D56" w:rsidRPr="006D2389" w:rsidRDefault="001F2D56" w:rsidP="006D2389">
      <w:pPr>
        <w:jc w:val="both"/>
        <w:rPr>
          <w:rFonts w:ascii="Arial" w:hAnsi="Arial" w:cs="Arial"/>
          <w:sz w:val="20"/>
          <w:szCs w:val="20"/>
        </w:rPr>
      </w:pPr>
      <w:r w:rsidRPr="006D2389">
        <w:rPr>
          <w:rFonts w:ascii="Arial" w:hAnsi="Arial" w:cs="Arial"/>
          <w:sz w:val="20"/>
          <w:szCs w:val="20"/>
        </w:rPr>
        <w:t xml:space="preserve">Pobuda b-rešitve, ki jo je </w:t>
      </w:r>
      <w:r w:rsidR="004E5A30" w:rsidRPr="006D2389">
        <w:rPr>
          <w:rFonts w:ascii="Arial" w:hAnsi="Arial" w:cs="Arial"/>
          <w:sz w:val="20"/>
          <w:szCs w:val="20"/>
        </w:rPr>
        <w:t>Evropska k</w:t>
      </w:r>
      <w:r w:rsidRPr="006D2389">
        <w:rPr>
          <w:rFonts w:ascii="Arial" w:hAnsi="Arial" w:cs="Arial"/>
          <w:sz w:val="20"/>
          <w:szCs w:val="20"/>
        </w:rPr>
        <w:t>omisija začela izvajati leta 2018, je pokazala, da je za premagovanje čezmejnih težav potrebno sodelovanje več ravni oblasti in da so pogosto potrebne pravne spremembe. Pokazalo se je tudi, da je večina ovir zakoreninjena v nacionalni zakonodaji.</w:t>
      </w:r>
      <w:r w:rsidR="004E5A30" w:rsidRPr="006D2389">
        <w:rPr>
          <w:rFonts w:ascii="Arial" w:hAnsi="Arial" w:cs="Arial"/>
          <w:sz w:val="20"/>
          <w:szCs w:val="20"/>
        </w:rPr>
        <w:t xml:space="preserve"> </w:t>
      </w:r>
      <w:r w:rsidRPr="006D2389">
        <w:rPr>
          <w:rFonts w:ascii="Arial" w:hAnsi="Arial" w:cs="Arial"/>
          <w:sz w:val="20"/>
          <w:szCs w:val="20"/>
        </w:rPr>
        <w:t xml:space="preserve">V okviru te pobude je bilo obravnavanih že veliko primerov mejnih ovir v 27 čezmejnih regijah, predvsem na področju zaposlovanja, javnega prevoza, zdravstvenega varstva in institucionalnega sodelovanja. </w:t>
      </w:r>
    </w:p>
    <w:p w:rsidR="0013513A" w:rsidRDefault="0013513A" w:rsidP="006D2389">
      <w:pPr>
        <w:jc w:val="both"/>
        <w:rPr>
          <w:rFonts w:ascii="Arial" w:hAnsi="Arial" w:cs="Arial"/>
          <w:b/>
          <w:sz w:val="20"/>
          <w:szCs w:val="20"/>
        </w:rPr>
      </w:pPr>
    </w:p>
    <w:p w:rsidR="0013513A" w:rsidRDefault="0013513A" w:rsidP="006D2389">
      <w:pPr>
        <w:jc w:val="both"/>
        <w:rPr>
          <w:rFonts w:ascii="Arial" w:hAnsi="Arial" w:cs="Arial"/>
          <w:b/>
          <w:sz w:val="20"/>
          <w:szCs w:val="20"/>
        </w:rPr>
      </w:pPr>
    </w:p>
    <w:p w:rsidR="00CA12A4" w:rsidRPr="006D2389" w:rsidRDefault="00CA12A4" w:rsidP="006D2389">
      <w:pPr>
        <w:jc w:val="both"/>
        <w:rPr>
          <w:rFonts w:ascii="Arial" w:hAnsi="Arial" w:cs="Arial"/>
          <w:b/>
          <w:sz w:val="20"/>
          <w:szCs w:val="20"/>
        </w:rPr>
      </w:pPr>
      <w:r w:rsidRPr="006D2389">
        <w:rPr>
          <w:rFonts w:ascii="Arial" w:hAnsi="Arial" w:cs="Arial"/>
          <w:b/>
          <w:sz w:val="20"/>
          <w:szCs w:val="20"/>
        </w:rPr>
        <w:lastRenderedPageBreak/>
        <w:t>Koristne informacije:</w:t>
      </w:r>
    </w:p>
    <w:p w:rsidR="00CA12A4" w:rsidRPr="006D2389" w:rsidRDefault="00CA12A4" w:rsidP="006D2389">
      <w:pPr>
        <w:pStyle w:val="Odstavekseznama"/>
        <w:numPr>
          <w:ilvl w:val="0"/>
          <w:numId w:val="1"/>
        </w:numPr>
        <w:jc w:val="both"/>
        <w:rPr>
          <w:rFonts w:ascii="Arial" w:hAnsi="Arial" w:cs="Arial"/>
          <w:sz w:val="20"/>
          <w:szCs w:val="20"/>
        </w:rPr>
      </w:pPr>
      <w:r w:rsidRPr="006D2389">
        <w:rPr>
          <w:rFonts w:ascii="Arial" w:hAnsi="Arial" w:cs="Arial"/>
          <w:sz w:val="20"/>
          <w:szCs w:val="20"/>
        </w:rPr>
        <w:t>Posnetki razprav:</w:t>
      </w:r>
    </w:p>
    <w:p w:rsidR="00CA12A4" w:rsidRPr="006D2389" w:rsidRDefault="00CA12A4" w:rsidP="006D2389">
      <w:pPr>
        <w:pStyle w:val="Odstavekseznama"/>
        <w:numPr>
          <w:ilvl w:val="0"/>
          <w:numId w:val="1"/>
        </w:numPr>
        <w:jc w:val="both"/>
        <w:rPr>
          <w:rFonts w:ascii="Arial" w:hAnsi="Arial" w:cs="Arial"/>
          <w:sz w:val="20"/>
          <w:szCs w:val="20"/>
        </w:rPr>
      </w:pPr>
      <w:hyperlink r:id="rId6" w:history="1">
        <w:r w:rsidRPr="006D2389">
          <w:rPr>
            <w:rStyle w:val="Hiperpovezava"/>
            <w:rFonts w:ascii="Arial" w:hAnsi="Arial" w:cs="Arial"/>
            <w:sz w:val="20"/>
            <w:szCs w:val="20"/>
          </w:rPr>
          <w:t>https://www.youtube.com/playlist?list=PLEL3UiBe-FdAjy8SI3hf3GeMoVRjy_HIH</w:t>
        </w:r>
      </w:hyperlink>
    </w:p>
    <w:p w:rsidR="00CA12A4" w:rsidRPr="006D2389" w:rsidRDefault="00CA12A4" w:rsidP="006D2389">
      <w:pPr>
        <w:pStyle w:val="Odstavekseznama"/>
        <w:numPr>
          <w:ilvl w:val="0"/>
          <w:numId w:val="1"/>
        </w:numPr>
        <w:jc w:val="both"/>
        <w:rPr>
          <w:rFonts w:ascii="Arial" w:hAnsi="Arial" w:cs="Arial"/>
          <w:sz w:val="20"/>
          <w:szCs w:val="20"/>
        </w:rPr>
      </w:pPr>
      <w:r w:rsidRPr="006D2389">
        <w:rPr>
          <w:rFonts w:ascii="Arial" w:hAnsi="Arial" w:cs="Arial"/>
          <w:sz w:val="20"/>
          <w:szCs w:val="20"/>
        </w:rPr>
        <w:t>Poročilo Evropske komisije o čezmejnih regijah:</w:t>
      </w:r>
    </w:p>
    <w:p w:rsidR="00CA12A4" w:rsidRPr="006D2389" w:rsidRDefault="00CA12A4" w:rsidP="006D2389">
      <w:pPr>
        <w:pStyle w:val="Odstavekseznama"/>
        <w:numPr>
          <w:ilvl w:val="0"/>
          <w:numId w:val="1"/>
        </w:numPr>
        <w:jc w:val="both"/>
        <w:rPr>
          <w:rFonts w:ascii="Arial" w:hAnsi="Arial" w:cs="Arial"/>
          <w:sz w:val="20"/>
          <w:szCs w:val="20"/>
        </w:rPr>
      </w:pPr>
      <w:hyperlink r:id="rId7" w:history="1">
        <w:r w:rsidRPr="006D2389">
          <w:rPr>
            <w:rStyle w:val="Hiperpovezava"/>
            <w:rFonts w:ascii="Arial" w:hAnsi="Arial" w:cs="Arial"/>
            <w:sz w:val="20"/>
            <w:szCs w:val="20"/>
          </w:rPr>
          <w:t>https://futurium.ec.europa.eu/en/border-focal-point-network/library/eu-border-regions-living-labs-european-integration?language=sl</w:t>
        </w:r>
      </w:hyperlink>
    </w:p>
    <w:p w:rsidR="00CA12A4" w:rsidRPr="006D2389" w:rsidRDefault="00CA12A4" w:rsidP="006D2389">
      <w:pPr>
        <w:spacing w:after="0"/>
        <w:jc w:val="both"/>
        <w:rPr>
          <w:rFonts w:ascii="Arial" w:hAnsi="Arial" w:cs="Arial"/>
          <w:sz w:val="20"/>
          <w:szCs w:val="20"/>
        </w:rPr>
      </w:pPr>
      <w:r w:rsidRPr="006D2389">
        <w:rPr>
          <w:rFonts w:ascii="Arial" w:hAnsi="Arial" w:cs="Arial"/>
          <w:sz w:val="20"/>
          <w:szCs w:val="20"/>
        </w:rPr>
        <w:t>Pripravila:</w:t>
      </w:r>
    </w:p>
    <w:p w:rsidR="00CA12A4" w:rsidRPr="006D2389" w:rsidRDefault="00CA12A4" w:rsidP="006D2389">
      <w:pPr>
        <w:spacing w:after="0"/>
        <w:jc w:val="both"/>
        <w:rPr>
          <w:rFonts w:ascii="Arial" w:hAnsi="Arial" w:cs="Arial"/>
          <w:sz w:val="20"/>
          <w:szCs w:val="20"/>
        </w:rPr>
      </w:pPr>
      <w:r w:rsidRPr="006D2389">
        <w:rPr>
          <w:rFonts w:ascii="Arial" w:hAnsi="Arial" w:cs="Arial"/>
          <w:sz w:val="20"/>
          <w:szCs w:val="20"/>
        </w:rPr>
        <w:t>Darja Kocbek</w:t>
      </w:r>
    </w:p>
    <w:p w:rsidR="004E5A30" w:rsidRDefault="004E5A30" w:rsidP="006D2389">
      <w:pPr>
        <w:spacing w:after="0"/>
      </w:pPr>
    </w:p>
    <w:p w:rsidR="007072A7" w:rsidRDefault="007072A7" w:rsidP="006D2389">
      <w:pPr>
        <w:spacing w:after="0"/>
      </w:pPr>
    </w:p>
    <w:sectPr w:rsidR="007072A7" w:rsidSect="001937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02221"/>
    <w:multiLevelType w:val="hybridMultilevel"/>
    <w:tmpl w:val="2D00DC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194A"/>
    <w:rsid w:val="0013513A"/>
    <w:rsid w:val="00193753"/>
    <w:rsid w:val="001F2D56"/>
    <w:rsid w:val="00422B0E"/>
    <w:rsid w:val="004E5A30"/>
    <w:rsid w:val="006D2389"/>
    <w:rsid w:val="007072A7"/>
    <w:rsid w:val="00AE194A"/>
    <w:rsid w:val="00CA12A4"/>
    <w:rsid w:val="00EE61F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3753"/>
  </w:style>
  <w:style w:type="paragraph" w:styleId="Naslov2">
    <w:name w:val="heading 2"/>
    <w:basedOn w:val="Navaden"/>
    <w:link w:val="Naslov2Znak"/>
    <w:uiPriority w:val="9"/>
    <w:qFormat/>
    <w:rsid w:val="0013513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4E5A30"/>
    <w:rPr>
      <w:i/>
      <w:iCs/>
    </w:rPr>
  </w:style>
  <w:style w:type="character" w:styleId="Hiperpovezava">
    <w:name w:val="Hyperlink"/>
    <w:basedOn w:val="Privzetapisavaodstavka"/>
    <w:uiPriority w:val="99"/>
    <w:unhideWhenUsed/>
    <w:rsid w:val="00CA12A4"/>
    <w:rPr>
      <w:color w:val="0000FF" w:themeColor="hyperlink"/>
      <w:u w:val="single"/>
    </w:rPr>
  </w:style>
  <w:style w:type="paragraph" w:styleId="Odstavekseznama">
    <w:name w:val="List Paragraph"/>
    <w:basedOn w:val="Navaden"/>
    <w:uiPriority w:val="34"/>
    <w:qFormat/>
    <w:rsid w:val="006D2389"/>
    <w:pPr>
      <w:ind w:left="720"/>
      <w:contextualSpacing/>
    </w:pPr>
  </w:style>
  <w:style w:type="character" w:customStyle="1" w:styleId="Naslov2Znak">
    <w:name w:val="Naslov 2 Znak"/>
    <w:basedOn w:val="Privzetapisavaodstavka"/>
    <w:link w:val="Naslov2"/>
    <w:uiPriority w:val="9"/>
    <w:rsid w:val="0013513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3513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5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uturium.ec.europa.eu/en/border-focal-point-network/library/eu-border-regions-living-labs-european-integration?languag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playlist?list=PLEL3UiBe-FdAjy8SI3hf3GeMoVRjy_HI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453</Words>
  <Characters>2583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2022-07-12T11:35:00Z</dcterms:created>
  <dcterms:modified xsi:type="dcterms:W3CDTF">2022-07-13T07:32:00Z</dcterms:modified>
</cp:coreProperties>
</file>