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EB5" w:rsidRPr="00C82ABE" w:rsidRDefault="00073EB5" w:rsidP="00073EB5">
      <w:pPr>
        <w:tabs>
          <w:tab w:val="left" w:pos="2520"/>
          <w:tab w:val="left" w:pos="2700"/>
          <w:tab w:val="left" w:pos="3120"/>
        </w:tabs>
        <w:jc w:val="center"/>
      </w:pPr>
      <w:r w:rsidRPr="00C82ABE">
        <w:rPr>
          <w:noProof/>
          <w:lang w:val="en-US"/>
        </w:rPr>
        <w:drawing>
          <wp:inline distT="0" distB="0" distL="0" distR="0">
            <wp:extent cx="2000250" cy="1028700"/>
            <wp:effectExtent l="19050" t="0" r="0" b="0"/>
            <wp:docPr id="2" name="Slika 1" descr="SBRA-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coul"/>
                    <pic:cNvPicPr>
                      <a:picLocks noChangeAspect="1" noChangeArrowheads="1"/>
                    </pic:cNvPicPr>
                  </pic:nvPicPr>
                  <pic:blipFill>
                    <a:blip r:embed="rId6" cstate="print"/>
                    <a:srcRect/>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073EB5" w:rsidRPr="00C82ABE" w:rsidRDefault="00073EB5" w:rsidP="00073EB5">
      <w:pPr>
        <w:pStyle w:val="Heading2"/>
        <w:tabs>
          <w:tab w:val="left" w:pos="3120"/>
        </w:tabs>
        <w:jc w:val="center"/>
        <w:rPr>
          <w:b w:val="0"/>
          <w:bCs w:val="0"/>
          <w:i/>
          <w:iCs/>
          <w:sz w:val="22"/>
        </w:rPr>
      </w:pPr>
      <w:r w:rsidRPr="00C82ABE">
        <w:rPr>
          <w:b w:val="0"/>
          <w:bCs w:val="0"/>
          <w:sz w:val="22"/>
        </w:rPr>
        <w:t>Slovensko gospodarsko in raziskovalno združenje, Bruselj</w:t>
      </w:r>
    </w:p>
    <w:p w:rsidR="00073EB5" w:rsidRPr="00C82ABE" w:rsidRDefault="00073EB5" w:rsidP="00073EB5">
      <w:pPr>
        <w:pBdr>
          <w:bottom w:val="single" w:sz="6" w:space="1" w:color="auto"/>
        </w:pBdr>
        <w:tabs>
          <w:tab w:val="left" w:pos="3120"/>
        </w:tabs>
        <w:jc w:val="center"/>
        <w:rPr>
          <w:sz w:val="16"/>
          <w:szCs w:val="16"/>
        </w:rPr>
      </w:pPr>
    </w:p>
    <w:p w:rsidR="00073EB5" w:rsidRPr="00400222" w:rsidRDefault="00A63B49" w:rsidP="00073EB5">
      <w:pPr>
        <w:tabs>
          <w:tab w:val="left" w:pos="3120"/>
        </w:tabs>
        <w:jc w:val="center"/>
        <w:rPr>
          <w:rFonts w:ascii="Arial" w:hAnsi="Arial" w:cs="Arial"/>
          <w:b/>
        </w:rPr>
      </w:pPr>
      <w:r>
        <w:rPr>
          <w:rFonts w:ascii="Arial" w:hAnsi="Arial" w:cs="Arial"/>
          <w:b/>
        </w:rPr>
        <w:t>Občasna informacija članom 119</w:t>
      </w:r>
      <w:bookmarkStart w:id="0" w:name="_GoBack"/>
      <w:bookmarkEnd w:id="0"/>
      <w:r w:rsidR="00073EB5" w:rsidRPr="00400222">
        <w:rPr>
          <w:rFonts w:ascii="Arial" w:hAnsi="Arial" w:cs="Arial"/>
          <w:b/>
        </w:rPr>
        <w:t xml:space="preserve"> – 2018</w:t>
      </w:r>
    </w:p>
    <w:p w:rsidR="00073EB5" w:rsidRPr="00400222" w:rsidRDefault="00073EB5" w:rsidP="00073EB5">
      <w:pPr>
        <w:pStyle w:val="NoSpacing"/>
        <w:spacing w:after="100"/>
        <w:jc w:val="center"/>
        <w:rPr>
          <w:rFonts w:ascii="Arial" w:hAnsi="Arial" w:cs="Arial"/>
          <w:b/>
        </w:rPr>
      </w:pPr>
      <w:r>
        <w:rPr>
          <w:rFonts w:ascii="Arial" w:hAnsi="Arial" w:cs="Arial"/>
          <w:b/>
        </w:rPr>
        <w:t>16</w:t>
      </w:r>
      <w:r w:rsidRPr="00400222">
        <w:rPr>
          <w:rFonts w:ascii="Arial" w:hAnsi="Arial" w:cs="Arial"/>
          <w:b/>
        </w:rPr>
        <w:t>. julij 2018</w:t>
      </w:r>
    </w:p>
    <w:p w:rsidR="00073EB5" w:rsidRDefault="00073EB5" w:rsidP="00073EB5">
      <w:pPr>
        <w:jc w:val="center"/>
        <w:rPr>
          <w:rFonts w:ascii="Arial" w:hAnsi="Arial" w:cs="Arial"/>
          <w:b/>
          <w:i/>
        </w:rPr>
      </w:pPr>
      <w:r>
        <w:rPr>
          <w:rFonts w:ascii="Arial" w:hAnsi="Arial" w:cs="Arial"/>
          <w:b/>
          <w:color w:val="993300"/>
          <w:sz w:val="32"/>
          <w:szCs w:val="32"/>
        </w:rPr>
        <w:t>Revizorji evropskega računskega sodišča o predlogu večletnega proračuna EU za obdobje po letu 2020</w:t>
      </w:r>
    </w:p>
    <w:p w:rsidR="00AB023B" w:rsidRDefault="00AB023B" w:rsidP="008461C8">
      <w:pPr>
        <w:rPr>
          <w:rFonts w:ascii="Arial" w:hAnsi="Arial" w:cs="Arial"/>
          <w:b/>
          <w:i/>
        </w:rPr>
      </w:pPr>
      <w:r w:rsidRPr="008504DD">
        <w:rPr>
          <w:rFonts w:ascii="Arial" w:hAnsi="Arial" w:cs="Arial"/>
          <w:b/>
          <w:i/>
        </w:rPr>
        <w:t>V proračunu EU za obdobje 2021 do 2027, ki ga je predlagala Evropska komisija, bi bilo treba več poudarka nameniti dodani vrednosti, pravijo revizorji Evropskega računskega sodišča. Sodišče sicer odobrava večjo prožnost večletnega finančnega okvira za obvladovanje nepredvidenih dogodkov, vendar opozarja, da spremembe prioritet med področji porabe niso jasno obrazložene v predlogu ali utemeljene z objavljenimi rezultati ocene dodane vrednosti programov porabe EU, ki jo je opravila Komisija.</w:t>
      </w:r>
    </w:p>
    <w:p w:rsidR="008F7DE3" w:rsidRPr="008461C8" w:rsidRDefault="008F7DE3" w:rsidP="008F7DE3">
      <w:pPr>
        <w:rPr>
          <w:rFonts w:ascii="Arial" w:hAnsi="Arial" w:cs="Arial"/>
          <w:sz w:val="20"/>
          <w:szCs w:val="20"/>
        </w:rPr>
      </w:pPr>
      <w:r w:rsidRPr="008461C8">
        <w:rPr>
          <w:rFonts w:ascii="Arial" w:hAnsi="Arial" w:cs="Arial"/>
          <w:sz w:val="20"/>
          <w:szCs w:val="20"/>
        </w:rPr>
        <w:t>Revizorji opozarjajo tudi na problem časovne umestitve predloga proračuna, saj se strateški okvirji in cilji ukrepov EU prekrivajo in niso časovno usklajeni. Strategija Evropa 2020 se bo končala pred začetkom novega obdobja večletnega finančnega okvira, nov niz strateških ciljev EU pa še ni bil določen. Predlog dolgoročnega proračuna EU je v praksi postal orodje za oblikovanje političnih ciljev EU po letu2020 in ni več samo prilagoditev nanje. To ni običajno ali logično zaporedje dogodkov, opozarjajo revizorji.</w:t>
      </w:r>
    </w:p>
    <w:p w:rsidR="008F7DE3" w:rsidRPr="008461C8" w:rsidRDefault="008F7DE3" w:rsidP="008F7DE3">
      <w:pPr>
        <w:rPr>
          <w:rFonts w:ascii="Arial" w:hAnsi="Arial" w:cs="Arial"/>
          <w:sz w:val="20"/>
          <w:szCs w:val="20"/>
        </w:rPr>
      </w:pPr>
      <w:r w:rsidRPr="008461C8">
        <w:rPr>
          <w:rFonts w:ascii="Arial" w:hAnsi="Arial" w:cs="Arial"/>
          <w:sz w:val="20"/>
          <w:szCs w:val="20"/>
        </w:rPr>
        <w:t>Evropsko računsko sodišče bi po mnenju Evropskega računskega sodišča moralo biti pooblaščeno za revizijo vseh organov EU, vključno z Evropsko obrambno agencijo in predlaganim Evropskim denarnim skladom, in imeti možnost, da revidira vse organe, ustanovljene zunaj pravnega reda EU zaradi izvajanja politik EU.</w:t>
      </w:r>
    </w:p>
    <w:p w:rsidR="008F7DE3" w:rsidRDefault="008F7DE3" w:rsidP="008461C8">
      <w:pPr>
        <w:rPr>
          <w:rFonts w:ascii="Arial" w:hAnsi="Arial" w:cs="Arial"/>
          <w:b/>
          <w:i/>
        </w:rPr>
      </w:pPr>
    </w:p>
    <w:p w:rsidR="008F7DE3" w:rsidRDefault="008F7DE3" w:rsidP="008461C8">
      <w:pPr>
        <w:rPr>
          <w:rFonts w:ascii="Arial" w:hAnsi="Arial" w:cs="Arial"/>
          <w:b/>
          <w:i/>
        </w:rPr>
      </w:pPr>
    </w:p>
    <w:p w:rsidR="008F7DE3" w:rsidRDefault="008F7DE3" w:rsidP="008461C8">
      <w:pPr>
        <w:rPr>
          <w:rFonts w:ascii="Arial" w:hAnsi="Arial" w:cs="Arial"/>
          <w:b/>
          <w:i/>
        </w:rPr>
      </w:pPr>
    </w:p>
    <w:p w:rsidR="008F7DE3" w:rsidRDefault="008F7DE3" w:rsidP="008461C8">
      <w:pPr>
        <w:rPr>
          <w:rFonts w:ascii="Arial" w:hAnsi="Arial" w:cs="Arial"/>
          <w:b/>
          <w:i/>
        </w:rPr>
      </w:pPr>
    </w:p>
    <w:p w:rsidR="008F7DE3" w:rsidRDefault="008F7DE3" w:rsidP="008461C8">
      <w:pPr>
        <w:rPr>
          <w:rFonts w:ascii="Arial" w:hAnsi="Arial" w:cs="Arial"/>
          <w:b/>
          <w:i/>
        </w:rPr>
      </w:pPr>
    </w:p>
    <w:p w:rsidR="008F7DE3" w:rsidRDefault="008F7DE3" w:rsidP="008461C8">
      <w:pPr>
        <w:rPr>
          <w:rFonts w:ascii="Arial" w:hAnsi="Arial" w:cs="Arial"/>
          <w:b/>
          <w:i/>
        </w:rPr>
      </w:pPr>
    </w:p>
    <w:p w:rsidR="008F7DE3" w:rsidRDefault="008F7DE3" w:rsidP="008461C8">
      <w:pPr>
        <w:rPr>
          <w:rFonts w:ascii="Arial" w:hAnsi="Arial" w:cs="Arial"/>
          <w:b/>
          <w:i/>
        </w:rPr>
      </w:pPr>
    </w:p>
    <w:p w:rsidR="008F7DE3" w:rsidRPr="008504DD" w:rsidRDefault="008F7DE3" w:rsidP="008461C8">
      <w:pPr>
        <w:rPr>
          <w:rFonts w:ascii="Arial" w:hAnsi="Arial" w:cs="Arial"/>
          <w:b/>
          <w:i/>
        </w:rPr>
      </w:pPr>
    </w:p>
    <w:p w:rsidR="00AB023B" w:rsidRPr="008504DD" w:rsidRDefault="00AB023B" w:rsidP="008461C8">
      <w:pPr>
        <w:rPr>
          <w:rFonts w:ascii="Arial" w:hAnsi="Arial" w:cs="Arial"/>
          <w:b/>
          <w:sz w:val="20"/>
          <w:szCs w:val="20"/>
        </w:rPr>
      </w:pPr>
      <w:r w:rsidRPr="008504DD">
        <w:rPr>
          <w:rFonts w:ascii="Arial" w:hAnsi="Arial" w:cs="Arial"/>
          <w:b/>
          <w:sz w:val="20"/>
          <w:szCs w:val="20"/>
        </w:rPr>
        <w:lastRenderedPageBreak/>
        <w:t>Slika 1: Prikaz ključnih priporočil Evropskega računskega sodišča</w:t>
      </w:r>
    </w:p>
    <w:p w:rsidR="00AB023B" w:rsidRPr="008461C8" w:rsidRDefault="00AB023B" w:rsidP="008461C8">
      <w:pPr>
        <w:rPr>
          <w:rFonts w:ascii="Arial" w:hAnsi="Arial" w:cs="Arial"/>
          <w:sz w:val="20"/>
          <w:szCs w:val="20"/>
        </w:rPr>
      </w:pPr>
      <w:r w:rsidRPr="008461C8">
        <w:rPr>
          <w:rFonts w:ascii="Arial" w:hAnsi="Arial" w:cs="Arial"/>
          <w:noProof/>
          <w:sz w:val="20"/>
          <w:szCs w:val="20"/>
          <w:lang w:val="en-US"/>
        </w:rPr>
        <w:drawing>
          <wp:inline distT="0" distB="0" distL="0" distR="0">
            <wp:extent cx="5010150" cy="4160141"/>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10150" cy="4160141"/>
                    </a:xfrm>
                    <a:prstGeom prst="rect">
                      <a:avLst/>
                    </a:prstGeom>
                    <a:noFill/>
                    <a:ln w="9525">
                      <a:noFill/>
                      <a:miter lim="800000"/>
                      <a:headEnd/>
                      <a:tailEnd/>
                    </a:ln>
                  </pic:spPr>
                </pic:pic>
              </a:graphicData>
            </a:graphic>
          </wp:inline>
        </w:drawing>
      </w:r>
    </w:p>
    <w:p w:rsidR="00AB023B" w:rsidRDefault="00AB023B" w:rsidP="008461C8">
      <w:pPr>
        <w:rPr>
          <w:rFonts w:ascii="Arial" w:hAnsi="Arial" w:cs="Arial"/>
          <w:sz w:val="20"/>
          <w:szCs w:val="20"/>
        </w:rPr>
      </w:pPr>
      <w:r w:rsidRPr="008461C8">
        <w:rPr>
          <w:rFonts w:ascii="Arial" w:hAnsi="Arial" w:cs="Arial"/>
          <w:sz w:val="20"/>
          <w:szCs w:val="20"/>
        </w:rPr>
        <w:t>Vir:</w:t>
      </w:r>
      <w:r w:rsidR="008F7DE3">
        <w:rPr>
          <w:rFonts w:ascii="Arial" w:hAnsi="Arial" w:cs="Arial"/>
          <w:sz w:val="20"/>
          <w:szCs w:val="20"/>
        </w:rPr>
        <w:t xml:space="preserve"> </w:t>
      </w:r>
      <w:r w:rsidRPr="008461C8">
        <w:rPr>
          <w:rFonts w:ascii="Arial" w:hAnsi="Arial" w:cs="Arial"/>
          <w:sz w:val="20"/>
          <w:szCs w:val="20"/>
        </w:rPr>
        <w:t>Evropsko računsko sodišče</w:t>
      </w:r>
    </w:p>
    <w:p w:rsidR="00AB023B" w:rsidRPr="00073EB5" w:rsidRDefault="00AB023B" w:rsidP="008461C8">
      <w:pPr>
        <w:rPr>
          <w:rFonts w:ascii="Arial" w:hAnsi="Arial" w:cs="Arial"/>
          <w:b/>
          <w:sz w:val="20"/>
          <w:szCs w:val="20"/>
        </w:rPr>
      </w:pPr>
      <w:r w:rsidRPr="00073EB5">
        <w:rPr>
          <w:rFonts w:ascii="Arial" w:hAnsi="Arial" w:cs="Arial"/>
          <w:b/>
          <w:sz w:val="20"/>
          <w:szCs w:val="20"/>
        </w:rPr>
        <w:t>Koristne informacije:</w:t>
      </w:r>
    </w:p>
    <w:p w:rsidR="00AB023B" w:rsidRPr="00073EB5" w:rsidRDefault="00AB023B" w:rsidP="00073EB5">
      <w:pPr>
        <w:pStyle w:val="ListParagraph"/>
        <w:numPr>
          <w:ilvl w:val="0"/>
          <w:numId w:val="1"/>
        </w:numPr>
        <w:rPr>
          <w:rFonts w:ascii="Arial" w:hAnsi="Arial" w:cs="Arial"/>
          <w:sz w:val="20"/>
          <w:szCs w:val="20"/>
        </w:rPr>
      </w:pPr>
      <w:r w:rsidRPr="00073EB5">
        <w:rPr>
          <w:rFonts w:ascii="Arial" w:hAnsi="Arial" w:cs="Arial"/>
          <w:sz w:val="20"/>
          <w:szCs w:val="20"/>
        </w:rPr>
        <w:t>Poročilo:</w:t>
      </w:r>
    </w:p>
    <w:p w:rsidR="00AB023B" w:rsidRPr="00073EB5" w:rsidRDefault="00A63B49" w:rsidP="00073EB5">
      <w:pPr>
        <w:pStyle w:val="ListParagraph"/>
        <w:numPr>
          <w:ilvl w:val="0"/>
          <w:numId w:val="1"/>
        </w:numPr>
        <w:rPr>
          <w:rFonts w:ascii="Arial" w:hAnsi="Arial" w:cs="Arial"/>
          <w:sz w:val="20"/>
          <w:szCs w:val="20"/>
        </w:rPr>
      </w:pPr>
      <w:hyperlink r:id="rId8" w:history="1">
        <w:r w:rsidR="00AB023B" w:rsidRPr="00073EB5">
          <w:rPr>
            <w:rStyle w:val="Hyperlink"/>
            <w:rFonts w:ascii="Arial" w:hAnsi="Arial" w:cs="Arial"/>
            <w:sz w:val="20"/>
            <w:szCs w:val="20"/>
          </w:rPr>
          <w:t>https://www.eca.europa.eu/Lists/ECADocuments/BRP_MFF2/BRP_MFF2_EN.pdf</w:t>
        </w:r>
      </w:hyperlink>
    </w:p>
    <w:p w:rsidR="00AB023B" w:rsidRPr="00073EB5" w:rsidRDefault="00AB023B" w:rsidP="00073EB5">
      <w:pPr>
        <w:pStyle w:val="ListParagraph"/>
        <w:numPr>
          <w:ilvl w:val="0"/>
          <w:numId w:val="1"/>
        </w:numPr>
        <w:rPr>
          <w:rFonts w:ascii="Arial" w:hAnsi="Arial" w:cs="Arial"/>
          <w:sz w:val="20"/>
          <w:szCs w:val="20"/>
        </w:rPr>
      </w:pPr>
      <w:r w:rsidRPr="00073EB5">
        <w:rPr>
          <w:rFonts w:ascii="Arial" w:hAnsi="Arial" w:cs="Arial"/>
          <w:sz w:val="20"/>
          <w:szCs w:val="20"/>
        </w:rPr>
        <w:t>Predlogi Evropske komisije za večletni finančni okvir EU 2021-2027:</w:t>
      </w:r>
    </w:p>
    <w:p w:rsidR="00AB023B" w:rsidRPr="00073EB5" w:rsidRDefault="00A63B49" w:rsidP="00073EB5">
      <w:pPr>
        <w:pStyle w:val="ListParagraph"/>
        <w:numPr>
          <w:ilvl w:val="0"/>
          <w:numId w:val="1"/>
        </w:numPr>
        <w:rPr>
          <w:rFonts w:ascii="Arial" w:hAnsi="Arial" w:cs="Arial"/>
          <w:sz w:val="20"/>
          <w:szCs w:val="20"/>
        </w:rPr>
      </w:pPr>
      <w:hyperlink r:id="rId9" w:history="1">
        <w:r w:rsidR="00AB023B" w:rsidRPr="00073EB5">
          <w:rPr>
            <w:rStyle w:val="Hyperlink"/>
            <w:rFonts w:ascii="Arial" w:hAnsi="Arial" w:cs="Arial"/>
            <w:sz w:val="20"/>
            <w:szCs w:val="20"/>
          </w:rPr>
          <w:t>http://ec.europa.eu/budget/mff/index2021-2027_en.cfm</w:t>
        </w:r>
      </w:hyperlink>
    </w:p>
    <w:p w:rsidR="00AB023B" w:rsidRPr="008461C8" w:rsidRDefault="00AB023B" w:rsidP="008461C8">
      <w:pPr>
        <w:rPr>
          <w:rFonts w:ascii="Arial" w:hAnsi="Arial" w:cs="Arial"/>
          <w:sz w:val="20"/>
          <w:szCs w:val="20"/>
        </w:rPr>
      </w:pPr>
      <w:r w:rsidRPr="008461C8">
        <w:rPr>
          <w:rFonts w:ascii="Arial" w:hAnsi="Arial" w:cs="Arial"/>
          <w:sz w:val="20"/>
          <w:szCs w:val="20"/>
        </w:rPr>
        <w:t>Pripravila:</w:t>
      </w:r>
    </w:p>
    <w:p w:rsidR="00AB023B" w:rsidRPr="008461C8" w:rsidRDefault="00AB023B" w:rsidP="008461C8">
      <w:pPr>
        <w:rPr>
          <w:rFonts w:ascii="Arial" w:hAnsi="Arial" w:cs="Arial"/>
          <w:sz w:val="20"/>
          <w:szCs w:val="20"/>
        </w:rPr>
      </w:pPr>
      <w:r w:rsidRPr="008461C8">
        <w:rPr>
          <w:rFonts w:ascii="Arial" w:hAnsi="Arial" w:cs="Arial"/>
          <w:sz w:val="20"/>
          <w:szCs w:val="20"/>
        </w:rPr>
        <w:t>Darja Kocbek</w:t>
      </w:r>
    </w:p>
    <w:p w:rsidR="00AB023B" w:rsidRPr="008461C8" w:rsidRDefault="00AB023B" w:rsidP="008461C8">
      <w:pPr>
        <w:rPr>
          <w:rFonts w:ascii="Arial" w:hAnsi="Arial" w:cs="Arial"/>
          <w:sz w:val="20"/>
          <w:szCs w:val="20"/>
        </w:rPr>
      </w:pPr>
    </w:p>
    <w:p w:rsidR="00AB023B" w:rsidRPr="00AB023B" w:rsidRDefault="00AB023B" w:rsidP="00AB023B"/>
    <w:p w:rsidR="00B459D4" w:rsidRPr="00AB023B" w:rsidRDefault="00B459D4" w:rsidP="00AB023B"/>
    <w:sectPr w:rsidR="00B459D4" w:rsidRPr="00AB023B" w:rsidSect="00B459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306F8"/>
    <w:multiLevelType w:val="hybridMultilevel"/>
    <w:tmpl w:val="FAF084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AB023B"/>
    <w:rsid w:val="00034073"/>
    <w:rsid w:val="00073EB5"/>
    <w:rsid w:val="00093342"/>
    <w:rsid w:val="008461C8"/>
    <w:rsid w:val="008504DD"/>
    <w:rsid w:val="008F7DE3"/>
    <w:rsid w:val="00A63B49"/>
    <w:rsid w:val="00AB023B"/>
    <w:rsid w:val="00B45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9D4"/>
  </w:style>
  <w:style w:type="paragraph" w:styleId="Heading2">
    <w:name w:val="heading 2"/>
    <w:basedOn w:val="Normal"/>
    <w:link w:val="Heading2Char"/>
    <w:uiPriority w:val="9"/>
    <w:qFormat/>
    <w:rsid w:val="00073EB5"/>
    <w:pPr>
      <w:spacing w:before="100" w:beforeAutospacing="1"/>
      <w:jc w:val="left"/>
      <w:outlineLvl w:val="1"/>
    </w:pPr>
    <w:rPr>
      <w:rFonts w:ascii="Times New Roman" w:eastAsia="Times New Roman" w:hAnsi="Times New Roman" w:cs="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2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23B"/>
    <w:rPr>
      <w:rFonts w:ascii="Tahoma" w:hAnsi="Tahoma" w:cs="Tahoma"/>
      <w:sz w:val="16"/>
      <w:szCs w:val="16"/>
    </w:rPr>
  </w:style>
  <w:style w:type="character" w:styleId="Hyperlink">
    <w:name w:val="Hyperlink"/>
    <w:basedOn w:val="DefaultParagraphFont"/>
    <w:uiPriority w:val="99"/>
    <w:unhideWhenUsed/>
    <w:rsid w:val="00AB023B"/>
    <w:rPr>
      <w:color w:val="0000FF" w:themeColor="hyperlink"/>
      <w:u w:val="single"/>
    </w:rPr>
  </w:style>
  <w:style w:type="character" w:customStyle="1" w:styleId="Heading2Char">
    <w:name w:val="Heading 2 Char"/>
    <w:basedOn w:val="DefaultParagraphFont"/>
    <w:link w:val="Heading2"/>
    <w:uiPriority w:val="9"/>
    <w:rsid w:val="00073EB5"/>
    <w:rPr>
      <w:rFonts w:ascii="Times New Roman" w:eastAsia="Times New Roman" w:hAnsi="Times New Roman" w:cs="Times New Roman"/>
      <w:b/>
      <w:bCs/>
      <w:sz w:val="36"/>
      <w:szCs w:val="36"/>
      <w:lang w:eastAsia="sl-SI"/>
    </w:rPr>
  </w:style>
  <w:style w:type="paragraph" w:styleId="NoSpacing">
    <w:name w:val="No Spacing"/>
    <w:uiPriority w:val="1"/>
    <w:qFormat/>
    <w:rsid w:val="00073EB5"/>
    <w:pPr>
      <w:spacing w:after="0"/>
    </w:pPr>
  </w:style>
  <w:style w:type="paragraph" w:styleId="ListParagraph">
    <w:name w:val="List Paragraph"/>
    <w:basedOn w:val="Normal"/>
    <w:uiPriority w:val="34"/>
    <w:qFormat/>
    <w:rsid w:val="00073E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871532">
      <w:bodyDiv w:val="1"/>
      <w:marLeft w:val="0"/>
      <w:marRight w:val="0"/>
      <w:marTop w:val="0"/>
      <w:marBottom w:val="0"/>
      <w:divBdr>
        <w:top w:val="none" w:sz="0" w:space="0" w:color="auto"/>
        <w:left w:val="none" w:sz="0" w:space="0" w:color="auto"/>
        <w:bottom w:val="none" w:sz="0" w:space="0" w:color="auto"/>
        <w:right w:val="none" w:sz="0" w:space="0" w:color="auto"/>
      </w:divBdr>
      <w:divsChild>
        <w:div w:id="558981479">
          <w:marLeft w:val="0"/>
          <w:marRight w:val="0"/>
          <w:marTop w:val="0"/>
          <w:marBottom w:val="0"/>
          <w:divBdr>
            <w:top w:val="none" w:sz="0" w:space="0" w:color="auto"/>
            <w:left w:val="none" w:sz="0" w:space="0" w:color="auto"/>
            <w:bottom w:val="none" w:sz="0" w:space="0" w:color="auto"/>
            <w:right w:val="none" w:sz="0" w:space="0" w:color="auto"/>
          </w:divBdr>
        </w:div>
        <w:div w:id="1554268136">
          <w:marLeft w:val="0"/>
          <w:marRight w:val="0"/>
          <w:marTop w:val="0"/>
          <w:marBottom w:val="0"/>
          <w:divBdr>
            <w:top w:val="none" w:sz="0" w:space="0" w:color="auto"/>
            <w:left w:val="none" w:sz="0" w:space="0" w:color="auto"/>
            <w:bottom w:val="none" w:sz="0" w:space="0" w:color="auto"/>
            <w:right w:val="none" w:sz="0" w:space="0" w:color="auto"/>
          </w:divBdr>
        </w:div>
        <w:div w:id="897977884">
          <w:marLeft w:val="0"/>
          <w:marRight w:val="0"/>
          <w:marTop w:val="0"/>
          <w:marBottom w:val="0"/>
          <w:divBdr>
            <w:top w:val="none" w:sz="0" w:space="0" w:color="auto"/>
            <w:left w:val="none" w:sz="0" w:space="0" w:color="auto"/>
            <w:bottom w:val="none" w:sz="0" w:space="0" w:color="auto"/>
            <w:right w:val="none" w:sz="0" w:space="0" w:color="auto"/>
          </w:divBdr>
        </w:div>
      </w:divsChild>
    </w:div>
    <w:div w:id="1287352349">
      <w:bodyDiv w:val="1"/>
      <w:marLeft w:val="0"/>
      <w:marRight w:val="0"/>
      <w:marTop w:val="0"/>
      <w:marBottom w:val="0"/>
      <w:divBdr>
        <w:top w:val="none" w:sz="0" w:space="0" w:color="auto"/>
        <w:left w:val="none" w:sz="0" w:space="0" w:color="auto"/>
        <w:bottom w:val="none" w:sz="0" w:space="0" w:color="auto"/>
        <w:right w:val="none" w:sz="0" w:space="0" w:color="auto"/>
      </w:divBdr>
      <w:divsChild>
        <w:div w:id="2110813207">
          <w:marLeft w:val="0"/>
          <w:marRight w:val="0"/>
          <w:marTop w:val="0"/>
          <w:marBottom w:val="0"/>
          <w:divBdr>
            <w:top w:val="none" w:sz="0" w:space="0" w:color="auto"/>
            <w:left w:val="none" w:sz="0" w:space="0" w:color="auto"/>
            <w:bottom w:val="none" w:sz="0" w:space="0" w:color="auto"/>
            <w:right w:val="none" w:sz="0" w:space="0" w:color="auto"/>
          </w:divBdr>
        </w:div>
        <w:div w:id="1263150519">
          <w:marLeft w:val="0"/>
          <w:marRight w:val="0"/>
          <w:marTop w:val="0"/>
          <w:marBottom w:val="0"/>
          <w:divBdr>
            <w:top w:val="none" w:sz="0" w:space="0" w:color="auto"/>
            <w:left w:val="none" w:sz="0" w:space="0" w:color="auto"/>
            <w:bottom w:val="none" w:sz="0" w:space="0" w:color="auto"/>
            <w:right w:val="none" w:sz="0" w:space="0" w:color="auto"/>
          </w:divBdr>
        </w:div>
        <w:div w:id="63572222">
          <w:marLeft w:val="0"/>
          <w:marRight w:val="0"/>
          <w:marTop w:val="0"/>
          <w:marBottom w:val="0"/>
          <w:divBdr>
            <w:top w:val="none" w:sz="0" w:space="0" w:color="auto"/>
            <w:left w:val="none" w:sz="0" w:space="0" w:color="auto"/>
            <w:bottom w:val="none" w:sz="0" w:space="0" w:color="auto"/>
            <w:right w:val="none" w:sz="0" w:space="0" w:color="auto"/>
          </w:divBdr>
        </w:div>
        <w:div w:id="1911383633">
          <w:marLeft w:val="0"/>
          <w:marRight w:val="0"/>
          <w:marTop w:val="0"/>
          <w:marBottom w:val="0"/>
          <w:divBdr>
            <w:top w:val="none" w:sz="0" w:space="0" w:color="auto"/>
            <w:left w:val="none" w:sz="0" w:space="0" w:color="auto"/>
            <w:bottom w:val="none" w:sz="0" w:space="0" w:color="auto"/>
            <w:right w:val="none" w:sz="0" w:space="0" w:color="auto"/>
          </w:divBdr>
        </w:div>
        <w:div w:id="1688944203">
          <w:marLeft w:val="0"/>
          <w:marRight w:val="0"/>
          <w:marTop w:val="0"/>
          <w:marBottom w:val="0"/>
          <w:divBdr>
            <w:top w:val="none" w:sz="0" w:space="0" w:color="auto"/>
            <w:left w:val="none" w:sz="0" w:space="0" w:color="auto"/>
            <w:bottom w:val="none" w:sz="0" w:space="0" w:color="auto"/>
            <w:right w:val="none" w:sz="0" w:space="0" w:color="auto"/>
          </w:divBdr>
        </w:div>
        <w:div w:id="1841918986">
          <w:marLeft w:val="0"/>
          <w:marRight w:val="0"/>
          <w:marTop w:val="0"/>
          <w:marBottom w:val="0"/>
          <w:divBdr>
            <w:top w:val="none" w:sz="0" w:space="0" w:color="auto"/>
            <w:left w:val="none" w:sz="0" w:space="0" w:color="auto"/>
            <w:bottom w:val="none" w:sz="0" w:space="0" w:color="auto"/>
            <w:right w:val="none" w:sz="0" w:space="0" w:color="auto"/>
          </w:divBdr>
        </w:div>
        <w:div w:id="1249924108">
          <w:marLeft w:val="0"/>
          <w:marRight w:val="0"/>
          <w:marTop w:val="0"/>
          <w:marBottom w:val="0"/>
          <w:divBdr>
            <w:top w:val="none" w:sz="0" w:space="0" w:color="auto"/>
            <w:left w:val="none" w:sz="0" w:space="0" w:color="auto"/>
            <w:bottom w:val="none" w:sz="0" w:space="0" w:color="auto"/>
            <w:right w:val="none" w:sz="0" w:space="0" w:color="auto"/>
          </w:divBdr>
        </w:div>
        <w:div w:id="1902011057">
          <w:marLeft w:val="0"/>
          <w:marRight w:val="0"/>
          <w:marTop w:val="0"/>
          <w:marBottom w:val="0"/>
          <w:divBdr>
            <w:top w:val="none" w:sz="0" w:space="0" w:color="auto"/>
            <w:left w:val="none" w:sz="0" w:space="0" w:color="auto"/>
            <w:bottom w:val="none" w:sz="0" w:space="0" w:color="auto"/>
            <w:right w:val="none" w:sz="0" w:space="0" w:color="auto"/>
          </w:divBdr>
        </w:div>
      </w:divsChild>
    </w:div>
    <w:div w:id="1781492315">
      <w:bodyDiv w:val="1"/>
      <w:marLeft w:val="0"/>
      <w:marRight w:val="0"/>
      <w:marTop w:val="0"/>
      <w:marBottom w:val="0"/>
      <w:divBdr>
        <w:top w:val="none" w:sz="0" w:space="0" w:color="auto"/>
        <w:left w:val="none" w:sz="0" w:space="0" w:color="auto"/>
        <w:bottom w:val="none" w:sz="0" w:space="0" w:color="auto"/>
        <w:right w:val="none" w:sz="0" w:space="0" w:color="auto"/>
      </w:divBdr>
      <w:divsChild>
        <w:div w:id="630013451">
          <w:marLeft w:val="0"/>
          <w:marRight w:val="0"/>
          <w:marTop w:val="0"/>
          <w:marBottom w:val="0"/>
          <w:divBdr>
            <w:top w:val="none" w:sz="0" w:space="0" w:color="auto"/>
            <w:left w:val="none" w:sz="0" w:space="0" w:color="auto"/>
            <w:bottom w:val="none" w:sz="0" w:space="0" w:color="auto"/>
            <w:right w:val="none" w:sz="0" w:space="0" w:color="auto"/>
          </w:divBdr>
        </w:div>
        <w:div w:id="1184248070">
          <w:marLeft w:val="0"/>
          <w:marRight w:val="0"/>
          <w:marTop w:val="0"/>
          <w:marBottom w:val="0"/>
          <w:divBdr>
            <w:top w:val="none" w:sz="0" w:space="0" w:color="auto"/>
            <w:left w:val="none" w:sz="0" w:space="0" w:color="auto"/>
            <w:bottom w:val="none" w:sz="0" w:space="0" w:color="auto"/>
            <w:right w:val="none" w:sz="0" w:space="0" w:color="auto"/>
          </w:divBdr>
        </w:div>
        <w:div w:id="1382703339">
          <w:marLeft w:val="0"/>
          <w:marRight w:val="0"/>
          <w:marTop w:val="0"/>
          <w:marBottom w:val="0"/>
          <w:divBdr>
            <w:top w:val="none" w:sz="0" w:space="0" w:color="auto"/>
            <w:left w:val="none" w:sz="0" w:space="0" w:color="auto"/>
            <w:bottom w:val="none" w:sz="0" w:space="0" w:color="auto"/>
            <w:right w:val="none" w:sz="0" w:space="0" w:color="auto"/>
          </w:divBdr>
        </w:div>
        <w:div w:id="1203637944">
          <w:marLeft w:val="0"/>
          <w:marRight w:val="0"/>
          <w:marTop w:val="0"/>
          <w:marBottom w:val="0"/>
          <w:divBdr>
            <w:top w:val="none" w:sz="0" w:space="0" w:color="auto"/>
            <w:left w:val="none" w:sz="0" w:space="0" w:color="auto"/>
            <w:bottom w:val="none" w:sz="0" w:space="0" w:color="auto"/>
            <w:right w:val="none" w:sz="0" w:space="0" w:color="auto"/>
          </w:divBdr>
        </w:div>
        <w:div w:id="728386683">
          <w:marLeft w:val="0"/>
          <w:marRight w:val="0"/>
          <w:marTop w:val="0"/>
          <w:marBottom w:val="0"/>
          <w:divBdr>
            <w:top w:val="none" w:sz="0" w:space="0" w:color="auto"/>
            <w:left w:val="none" w:sz="0" w:space="0" w:color="auto"/>
            <w:bottom w:val="none" w:sz="0" w:space="0" w:color="auto"/>
            <w:right w:val="none" w:sz="0" w:space="0" w:color="auto"/>
          </w:divBdr>
        </w:div>
        <w:div w:id="886912794">
          <w:marLeft w:val="0"/>
          <w:marRight w:val="0"/>
          <w:marTop w:val="0"/>
          <w:marBottom w:val="0"/>
          <w:divBdr>
            <w:top w:val="none" w:sz="0" w:space="0" w:color="auto"/>
            <w:left w:val="none" w:sz="0" w:space="0" w:color="auto"/>
            <w:bottom w:val="none" w:sz="0" w:space="0" w:color="auto"/>
            <w:right w:val="none" w:sz="0" w:space="0" w:color="auto"/>
          </w:divBdr>
        </w:div>
      </w:divsChild>
    </w:div>
    <w:div w:id="1933050897">
      <w:bodyDiv w:val="1"/>
      <w:marLeft w:val="0"/>
      <w:marRight w:val="0"/>
      <w:marTop w:val="0"/>
      <w:marBottom w:val="0"/>
      <w:divBdr>
        <w:top w:val="none" w:sz="0" w:space="0" w:color="auto"/>
        <w:left w:val="none" w:sz="0" w:space="0" w:color="auto"/>
        <w:bottom w:val="none" w:sz="0" w:space="0" w:color="auto"/>
        <w:right w:val="none" w:sz="0" w:space="0" w:color="auto"/>
      </w:divBdr>
      <w:divsChild>
        <w:div w:id="955214647">
          <w:marLeft w:val="0"/>
          <w:marRight w:val="0"/>
          <w:marTop w:val="0"/>
          <w:marBottom w:val="0"/>
          <w:divBdr>
            <w:top w:val="none" w:sz="0" w:space="0" w:color="auto"/>
            <w:left w:val="none" w:sz="0" w:space="0" w:color="auto"/>
            <w:bottom w:val="none" w:sz="0" w:space="0" w:color="auto"/>
            <w:right w:val="none" w:sz="0" w:space="0" w:color="auto"/>
          </w:divBdr>
        </w:div>
        <w:div w:id="1454783312">
          <w:marLeft w:val="0"/>
          <w:marRight w:val="0"/>
          <w:marTop w:val="0"/>
          <w:marBottom w:val="0"/>
          <w:divBdr>
            <w:top w:val="none" w:sz="0" w:space="0" w:color="auto"/>
            <w:left w:val="none" w:sz="0" w:space="0" w:color="auto"/>
            <w:bottom w:val="none" w:sz="0" w:space="0" w:color="auto"/>
            <w:right w:val="none" w:sz="0" w:space="0" w:color="auto"/>
          </w:divBdr>
        </w:div>
        <w:div w:id="122577459">
          <w:marLeft w:val="0"/>
          <w:marRight w:val="0"/>
          <w:marTop w:val="0"/>
          <w:marBottom w:val="0"/>
          <w:divBdr>
            <w:top w:val="none" w:sz="0" w:space="0" w:color="auto"/>
            <w:left w:val="none" w:sz="0" w:space="0" w:color="auto"/>
            <w:bottom w:val="none" w:sz="0" w:space="0" w:color="auto"/>
            <w:right w:val="none" w:sz="0" w:space="0" w:color="auto"/>
          </w:divBdr>
        </w:div>
        <w:div w:id="1909920865">
          <w:marLeft w:val="0"/>
          <w:marRight w:val="0"/>
          <w:marTop w:val="0"/>
          <w:marBottom w:val="0"/>
          <w:divBdr>
            <w:top w:val="none" w:sz="0" w:space="0" w:color="auto"/>
            <w:left w:val="none" w:sz="0" w:space="0" w:color="auto"/>
            <w:bottom w:val="none" w:sz="0" w:space="0" w:color="auto"/>
            <w:right w:val="none" w:sz="0" w:space="0" w:color="auto"/>
          </w:divBdr>
        </w:div>
        <w:div w:id="173769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ca.europa.eu/Lists/ECADocuments/BRP_MFF2/BRP_MFF2_EN.pdf" TargetMode="Externa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c.europa.eu/budget/mff/index2021-2027_en.cf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Pages>
  <Words>305</Words>
  <Characters>1742</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Bostjan Sinkovec</cp:lastModifiedBy>
  <cp:revision>5</cp:revision>
  <dcterms:created xsi:type="dcterms:W3CDTF">2018-07-10T15:10:00Z</dcterms:created>
  <dcterms:modified xsi:type="dcterms:W3CDTF">2018-07-12T13:16:00Z</dcterms:modified>
</cp:coreProperties>
</file>