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535" w:rsidRPr="00467345" w:rsidRDefault="00B34535" w:rsidP="00B34535">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34535" w:rsidRPr="00083714" w:rsidRDefault="00B34535" w:rsidP="00B34535">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B34535" w:rsidRPr="00083714" w:rsidRDefault="00B34535" w:rsidP="00B34535">
      <w:pPr>
        <w:pBdr>
          <w:bottom w:val="single" w:sz="6" w:space="1" w:color="auto"/>
        </w:pBdr>
        <w:tabs>
          <w:tab w:val="left" w:pos="3120"/>
        </w:tabs>
        <w:jc w:val="center"/>
        <w:rPr>
          <w:sz w:val="16"/>
          <w:szCs w:val="16"/>
        </w:rPr>
      </w:pPr>
    </w:p>
    <w:p w:rsidR="00B34535" w:rsidRDefault="00B34535" w:rsidP="00B34535">
      <w:pPr>
        <w:tabs>
          <w:tab w:val="left" w:pos="3120"/>
        </w:tabs>
        <w:rPr>
          <w:b/>
        </w:rPr>
      </w:pPr>
      <w:r w:rsidRPr="00083714">
        <w:rPr>
          <w:b/>
        </w:rPr>
        <w:tab/>
      </w:r>
      <w:r>
        <w:rPr>
          <w:b/>
        </w:rPr>
        <w:t xml:space="preserve">Občasna informacija članom 118 </w:t>
      </w:r>
      <w:r w:rsidRPr="00083714">
        <w:rPr>
          <w:b/>
        </w:rPr>
        <w:t>– 20</w:t>
      </w:r>
      <w:r>
        <w:rPr>
          <w:b/>
        </w:rPr>
        <w:t>21</w:t>
      </w:r>
    </w:p>
    <w:p w:rsidR="00B34535" w:rsidRPr="00050C1F" w:rsidRDefault="00B34535" w:rsidP="00B34535">
      <w:pPr>
        <w:tabs>
          <w:tab w:val="left" w:pos="3120"/>
        </w:tabs>
        <w:jc w:val="center"/>
        <w:rPr>
          <w:b/>
        </w:rPr>
      </w:pPr>
      <w:r>
        <w:rPr>
          <w:b/>
        </w:rPr>
        <w:t xml:space="preserve">19. julij </w:t>
      </w:r>
      <w:r w:rsidRPr="00083714">
        <w:rPr>
          <w:b/>
        </w:rPr>
        <w:t xml:space="preserve"> 20</w:t>
      </w:r>
      <w:r>
        <w:rPr>
          <w:b/>
        </w:rPr>
        <w:t>21</w:t>
      </w:r>
    </w:p>
    <w:p w:rsidR="00855F3F" w:rsidRDefault="00B34535" w:rsidP="00B34535">
      <w:pPr>
        <w:jc w:val="center"/>
        <w:rPr>
          <w:rFonts w:ascii="Arial" w:hAnsi="Arial" w:cs="Arial"/>
          <w:b/>
          <w:i/>
        </w:rPr>
      </w:pPr>
      <w:r>
        <w:rPr>
          <w:b/>
          <w:color w:val="993300"/>
          <w:sz w:val="32"/>
          <w:szCs w:val="32"/>
        </w:rPr>
        <w:t>Evropska komisija je napovedala, kdaj bo objavila nova razpisa Sklada za inovacije</w:t>
      </w:r>
    </w:p>
    <w:p w:rsidR="00E000AF" w:rsidRPr="00BB6B0D" w:rsidRDefault="00E000AF" w:rsidP="00BB6B0D">
      <w:pPr>
        <w:jc w:val="both"/>
        <w:rPr>
          <w:rFonts w:ascii="Arial" w:hAnsi="Arial" w:cs="Arial"/>
          <w:b/>
          <w:i/>
        </w:rPr>
      </w:pPr>
      <w:r w:rsidRPr="00BB6B0D">
        <w:rPr>
          <w:rFonts w:ascii="Arial" w:hAnsi="Arial" w:cs="Arial"/>
          <w:b/>
          <w:i/>
        </w:rPr>
        <w:t xml:space="preserve">Evropska komisija načrtuje drugi razpis Sklada za inovacije za velike projekte 26. oktobra, drugi razpis za male projekte pa marca 2022. Proračun za razpis za velike projekte  bo med 1,3 in 1,5 milijarde evrov, proračun za male projekte pa 100 milijonov evrov. Več informacij o stanju postopkov prvih razpisov in o pripravah na druga razpisa je na voljo prek posnetkov </w:t>
      </w:r>
      <w:r w:rsidR="000D4773" w:rsidRPr="00BB6B0D">
        <w:rPr>
          <w:rFonts w:ascii="Arial" w:hAnsi="Arial" w:cs="Arial"/>
          <w:b/>
          <w:i/>
        </w:rPr>
        <w:t>sej</w:t>
      </w:r>
      <w:r w:rsidRPr="00BB6B0D">
        <w:rPr>
          <w:rFonts w:ascii="Arial" w:hAnsi="Arial" w:cs="Arial"/>
          <w:b/>
          <w:i/>
        </w:rPr>
        <w:t xml:space="preserve"> </w:t>
      </w:r>
      <w:r w:rsidR="00B34535">
        <w:rPr>
          <w:rFonts w:ascii="Arial" w:hAnsi="Arial" w:cs="Arial"/>
          <w:b/>
          <w:i/>
        </w:rPr>
        <w:t>Strokovne skupine S</w:t>
      </w:r>
      <w:r w:rsidRPr="00BB6B0D">
        <w:rPr>
          <w:rFonts w:ascii="Arial" w:hAnsi="Arial" w:cs="Arial"/>
          <w:b/>
          <w:i/>
        </w:rPr>
        <w:t>klada za inovacije. Člani lahko več informacij dobijo tudi na SBRA.</w:t>
      </w:r>
    </w:p>
    <w:p w:rsidR="0050309D" w:rsidRPr="00BB6B0D" w:rsidRDefault="0050309D" w:rsidP="00BB6B0D">
      <w:pPr>
        <w:jc w:val="both"/>
        <w:rPr>
          <w:rFonts w:ascii="Arial" w:hAnsi="Arial" w:cs="Arial"/>
          <w:sz w:val="20"/>
          <w:szCs w:val="20"/>
        </w:rPr>
      </w:pPr>
      <w:r w:rsidRPr="00BB6B0D">
        <w:rPr>
          <w:rFonts w:ascii="Arial" w:hAnsi="Arial" w:cs="Arial"/>
          <w:sz w:val="20"/>
          <w:szCs w:val="20"/>
        </w:rPr>
        <w:t xml:space="preserve">Evropska komisija napoveduje, da bo na podlagi mnenj in pripomb, ki jih je dobila po objavi prvega razpisa, postopke za drugi razpis za velike projekte poenostavila. </w:t>
      </w:r>
      <w:r w:rsidR="004725D3" w:rsidRPr="00BB6B0D">
        <w:rPr>
          <w:rFonts w:ascii="Arial" w:hAnsi="Arial" w:cs="Arial"/>
          <w:sz w:val="20"/>
          <w:szCs w:val="20"/>
        </w:rPr>
        <w:t>Postopek bo enofazni, metodologija za ocenjevanje prijavljenih projektov bo v veliki meri ostala enaka kot pri prvem razpisu, navodila za prijavitelje pa naj bi bila bolj enostavna in razumljiva. Evropska komisija upa, da se bodo poleg novih prijaviteljev na drugi razpis prijavili tudi neuspešni prijavitelji iz prvega razpisa. Pri razpisu za male projekte niso predvidene bistvene spremembe.</w:t>
      </w:r>
    </w:p>
    <w:p w:rsidR="004725D3" w:rsidRPr="00BB6B0D" w:rsidRDefault="00992C66" w:rsidP="00BB6B0D">
      <w:pPr>
        <w:jc w:val="both"/>
        <w:rPr>
          <w:rFonts w:ascii="Arial" w:hAnsi="Arial" w:cs="Arial"/>
          <w:b/>
          <w:sz w:val="20"/>
          <w:szCs w:val="20"/>
        </w:rPr>
      </w:pPr>
      <w:r w:rsidRPr="00BB6B0D">
        <w:rPr>
          <w:rFonts w:ascii="Arial" w:hAnsi="Arial" w:cs="Arial"/>
          <w:b/>
          <w:sz w:val="20"/>
          <w:szCs w:val="20"/>
        </w:rPr>
        <w:t>Tabela 1: Predvideni časovni načrt</w:t>
      </w:r>
    </w:p>
    <w:tbl>
      <w:tblPr>
        <w:tblStyle w:val="Tabela-mrea"/>
        <w:tblW w:w="0" w:type="auto"/>
        <w:tblLook w:val="04A0"/>
      </w:tblPr>
      <w:tblGrid>
        <w:gridCol w:w="2303"/>
        <w:gridCol w:w="2303"/>
        <w:gridCol w:w="2303"/>
        <w:gridCol w:w="2303"/>
      </w:tblGrid>
      <w:tr w:rsidR="00992C66" w:rsidRPr="00BB6B0D" w:rsidTr="00992C66">
        <w:tc>
          <w:tcPr>
            <w:tcW w:w="2303" w:type="dxa"/>
          </w:tcPr>
          <w:p w:rsidR="00992C66" w:rsidRPr="00BB6B0D" w:rsidRDefault="00992C66" w:rsidP="00BB6B0D">
            <w:pPr>
              <w:jc w:val="both"/>
              <w:rPr>
                <w:rFonts w:ascii="Arial" w:hAnsi="Arial" w:cs="Arial"/>
                <w:b/>
                <w:sz w:val="20"/>
                <w:szCs w:val="20"/>
              </w:rPr>
            </w:pPr>
            <w:r w:rsidRPr="00BB6B0D">
              <w:rPr>
                <w:rFonts w:ascii="Arial" w:hAnsi="Arial" w:cs="Arial"/>
                <w:b/>
                <w:sz w:val="20"/>
                <w:szCs w:val="20"/>
              </w:rPr>
              <w:t>Razpis</w:t>
            </w:r>
          </w:p>
        </w:tc>
        <w:tc>
          <w:tcPr>
            <w:tcW w:w="2303" w:type="dxa"/>
          </w:tcPr>
          <w:p w:rsidR="00992C66" w:rsidRPr="00BB6B0D" w:rsidRDefault="00992C66" w:rsidP="00BB6B0D">
            <w:pPr>
              <w:jc w:val="both"/>
              <w:rPr>
                <w:rFonts w:ascii="Arial" w:hAnsi="Arial" w:cs="Arial"/>
                <w:b/>
                <w:sz w:val="20"/>
                <w:szCs w:val="20"/>
              </w:rPr>
            </w:pPr>
            <w:r w:rsidRPr="00BB6B0D">
              <w:rPr>
                <w:rFonts w:ascii="Arial" w:hAnsi="Arial" w:cs="Arial"/>
                <w:b/>
                <w:sz w:val="20"/>
                <w:szCs w:val="20"/>
              </w:rPr>
              <w:t>Objava razpisa</w:t>
            </w:r>
          </w:p>
        </w:tc>
        <w:tc>
          <w:tcPr>
            <w:tcW w:w="2303" w:type="dxa"/>
          </w:tcPr>
          <w:p w:rsidR="00992C66" w:rsidRPr="00BB6B0D" w:rsidRDefault="00992C66" w:rsidP="00BB6B0D">
            <w:pPr>
              <w:jc w:val="both"/>
              <w:rPr>
                <w:rFonts w:ascii="Arial" w:hAnsi="Arial" w:cs="Arial"/>
                <w:b/>
                <w:sz w:val="20"/>
                <w:szCs w:val="20"/>
              </w:rPr>
            </w:pPr>
            <w:r w:rsidRPr="00BB6B0D">
              <w:rPr>
                <w:rFonts w:ascii="Arial" w:hAnsi="Arial" w:cs="Arial"/>
                <w:b/>
                <w:sz w:val="20"/>
                <w:szCs w:val="20"/>
              </w:rPr>
              <w:t>Zaprtje razpisa</w:t>
            </w:r>
          </w:p>
        </w:tc>
        <w:tc>
          <w:tcPr>
            <w:tcW w:w="2303" w:type="dxa"/>
          </w:tcPr>
          <w:p w:rsidR="00992C66" w:rsidRPr="00BB6B0D" w:rsidRDefault="00992C66" w:rsidP="00BB6B0D">
            <w:pPr>
              <w:jc w:val="both"/>
              <w:rPr>
                <w:rFonts w:ascii="Arial" w:hAnsi="Arial" w:cs="Arial"/>
                <w:b/>
                <w:sz w:val="20"/>
                <w:szCs w:val="20"/>
              </w:rPr>
            </w:pPr>
            <w:r w:rsidRPr="00BB6B0D">
              <w:rPr>
                <w:rFonts w:ascii="Arial" w:hAnsi="Arial" w:cs="Arial"/>
                <w:b/>
                <w:sz w:val="20"/>
                <w:szCs w:val="20"/>
              </w:rPr>
              <w:t>Objava rezultatov</w:t>
            </w:r>
          </w:p>
        </w:tc>
      </w:tr>
      <w:tr w:rsidR="00992C66" w:rsidRPr="00BB6B0D" w:rsidTr="00992C66">
        <w:tc>
          <w:tcPr>
            <w:tcW w:w="2303" w:type="dxa"/>
          </w:tcPr>
          <w:p w:rsidR="00992C66" w:rsidRPr="00BB6B0D" w:rsidRDefault="00992C66" w:rsidP="00BB6B0D">
            <w:pPr>
              <w:jc w:val="both"/>
              <w:rPr>
                <w:rFonts w:ascii="Arial" w:hAnsi="Arial" w:cs="Arial"/>
                <w:b/>
                <w:sz w:val="20"/>
                <w:szCs w:val="20"/>
              </w:rPr>
            </w:pPr>
            <w:r w:rsidRPr="00BB6B0D">
              <w:rPr>
                <w:rFonts w:ascii="Arial" w:hAnsi="Arial" w:cs="Arial"/>
                <w:b/>
                <w:sz w:val="20"/>
                <w:szCs w:val="20"/>
              </w:rPr>
              <w:t>Drugi razpis za velike projekte</w:t>
            </w:r>
          </w:p>
        </w:tc>
        <w:tc>
          <w:tcPr>
            <w:tcW w:w="2303" w:type="dxa"/>
          </w:tcPr>
          <w:p w:rsidR="00992C66" w:rsidRPr="00BB6B0D" w:rsidRDefault="00992C66" w:rsidP="00BB6B0D">
            <w:pPr>
              <w:jc w:val="both"/>
              <w:rPr>
                <w:rFonts w:ascii="Arial" w:hAnsi="Arial" w:cs="Arial"/>
                <w:sz w:val="20"/>
                <w:szCs w:val="20"/>
              </w:rPr>
            </w:pPr>
            <w:r w:rsidRPr="00BB6B0D">
              <w:rPr>
                <w:rFonts w:ascii="Arial" w:hAnsi="Arial" w:cs="Arial"/>
                <w:sz w:val="20"/>
                <w:szCs w:val="20"/>
              </w:rPr>
              <w:t>26. oktober 2021</w:t>
            </w:r>
          </w:p>
        </w:tc>
        <w:tc>
          <w:tcPr>
            <w:tcW w:w="2303" w:type="dxa"/>
          </w:tcPr>
          <w:p w:rsidR="00992C66" w:rsidRPr="00BB6B0D" w:rsidRDefault="00992C66" w:rsidP="00BB6B0D">
            <w:pPr>
              <w:jc w:val="both"/>
              <w:rPr>
                <w:rFonts w:ascii="Arial" w:hAnsi="Arial" w:cs="Arial"/>
                <w:sz w:val="20"/>
                <w:szCs w:val="20"/>
              </w:rPr>
            </w:pPr>
            <w:r w:rsidRPr="00BB6B0D">
              <w:rPr>
                <w:rFonts w:ascii="Arial" w:hAnsi="Arial" w:cs="Arial"/>
                <w:sz w:val="20"/>
                <w:szCs w:val="20"/>
              </w:rPr>
              <w:t>1. marec 2022</w:t>
            </w:r>
          </w:p>
        </w:tc>
        <w:tc>
          <w:tcPr>
            <w:tcW w:w="2303" w:type="dxa"/>
          </w:tcPr>
          <w:p w:rsidR="00992C66" w:rsidRPr="00BB6B0D" w:rsidRDefault="00992C66" w:rsidP="00BB6B0D">
            <w:pPr>
              <w:jc w:val="both"/>
              <w:rPr>
                <w:rFonts w:ascii="Arial" w:hAnsi="Arial" w:cs="Arial"/>
                <w:sz w:val="20"/>
                <w:szCs w:val="20"/>
              </w:rPr>
            </w:pPr>
            <w:r w:rsidRPr="00BB6B0D">
              <w:rPr>
                <w:rFonts w:ascii="Arial" w:hAnsi="Arial" w:cs="Arial"/>
                <w:sz w:val="20"/>
                <w:szCs w:val="20"/>
              </w:rPr>
              <w:t>julij 2022</w:t>
            </w:r>
          </w:p>
        </w:tc>
      </w:tr>
      <w:tr w:rsidR="00992C66" w:rsidRPr="00BB6B0D" w:rsidTr="00992C66">
        <w:tc>
          <w:tcPr>
            <w:tcW w:w="2303" w:type="dxa"/>
          </w:tcPr>
          <w:p w:rsidR="00992C66" w:rsidRPr="00BB6B0D" w:rsidRDefault="00992C66" w:rsidP="00BB6B0D">
            <w:pPr>
              <w:jc w:val="both"/>
              <w:rPr>
                <w:rFonts w:ascii="Arial" w:hAnsi="Arial" w:cs="Arial"/>
                <w:b/>
                <w:sz w:val="20"/>
                <w:szCs w:val="20"/>
              </w:rPr>
            </w:pPr>
            <w:r w:rsidRPr="00BB6B0D">
              <w:rPr>
                <w:rFonts w:ascii="Arial" w:hAnsi="Arial" w:cs="Arial"/>
                <w:b/>
                <w:sz w:val="20"/>
                <w:szCs w:val="20"/>
              </w:rPr>
              <w:t>Drugi razpis za male projekte</w:t>
            </w:r>
          </w:p>
        </w:tc>
        <w:tc>
          <w:tcPr>
            <w:tcW w:w="2303" w:type="dxa"/>
          </w:tcPr>
          <w:p w:rsidR="00992C66" w:rsidRPr="00BB6B0D" w:rsidRDefault="00992C66" w:rsidP="00BB6B0D">
            <w:pPr>
              <w:jc w:val="both"/>
              <w:rPr>
                <w:rFonts w:ascii="Arial" w:hAnsi="Arial" w:cs="Arial"/>
                <w:sz w:val="20"/>
                <w:szCs w:val="20"/>
              </w:rPr>
            </w:pPr>
            <w:r w:rsidRPr="00BB6B0D">
              <w:rPr>
                <w:rFonts w:ascii="Arial" w:hAnsi="Arial" w:cs="Arial"/>
                <w:sz w:val="20"/>
                <w:szCs w:val="20"/>
              </w:rPr>
              <w:t>marec 2022</w:t>
            </w:r>
          </w:p>
        </w:tc>
        <w:tc>
          <w:tcPr>
            <w:tcW w:w="2303" w:type="dxa"/>
          </w:tcPr>
          <w:p w:rsidR="00992C66" w:rsidRPr="00BB6B0D" w:rsidRDefault="00992C66" w:rsidP="00BB6B0D">
            <w:pPr>
              <w:jc w:val="both"/>
              <w:rPr>
                <w:rFonts w:ascii="Arial" w:hAnsi="Arial" w:cs="Arial"/>
                <w:sz w:val="20"/>
                <w:szCs w:val="20"/>
              </w:rPr>
            </w:pPr>
            <w:r w:rsidRPr="00BB6B0D">
              <w:rPr>
                <w:rFonts w:ascii="Arial" w:hAnsi="Arial" w:cs="Arial"/>
                <w:sz w:val="20"/>
                <w:szCs w:val="20"/>
              </w:rPr>
              <w:t>avgust 2022</w:t>
            </w:r>
          </w:p>
        </w:tc>
        <w:tc>
          <w:tcPr>
            <w:tcW w:w="2303" w:type="dxa"/>
          </w:tcPr>
          <w:p w:rsidR="00992C66" w:rsidRPr="00BB6B0D" w:rsidRDefault="003D79C7" w:rsidP="00BB6B0D">
            <w:pPr>
              <w:jc w:val="both"/>
              <w:rPr>
                <w:rFonts w:ascii="Arial" w:hAnsi="Arial" w:cs="Arial"/>
                <w:sz w:val="20"/>
                <w:szCs w:val="20"/>
              </w:rPr>
            </w:pPr>
            <w:r w:rsidRPr="00BB6B0D">
              <w:rPr>
                <w:rFonts w:ascii="Arial" w:hAnsi="Arial" w:cs="Arial"/>
                <w:sz w:val="20"/>
                <w:szCs w:val="20"/>
              </w:rPr>
              <w:t>p</w:t>
            </w:r>
            <w:r w:rsidR="00992C66" w:rsidRPr="00BB6B0D">
              <w:rPr>
                <w:rFonts w:ascii="Arial" w:hAnsi="Arial" w:cs="Arial"/>
                <w:sz w:val="20"/>
                <w:szCs w:val="20"/>
              </w:rPr>
              <w:t>rvo četrtletje 2023</w:t>
            </w:r>
          </w:p>
        </w:tc>
      </w:tr>
    </w:tbl>
    <w:p w:rsidR="004725D3" w:rsidRPr="00BB6B0D" w:rsidRDefault="00992C66" w:rsidP="00BB6B0D">
      <w:pPr>
        <w:jc w:val="both"/>
        <w:rPr>
          <w:rFonts w:ascii="Arial" w:hAnsi="Arial" w:cs="Arial"/>
          <w:sz w:val="20"/>
          <w:szCs w:val="20"/>
        </w:rPr>
      </w:pPr>
      <w:r w:rsidRPr="00BB6B0D">
        <w:rPr>
          <w:rFonts w:ascii="Arial" w:hAnsi="Arial" w:cs="Arial"/>
          <w:sz w:val="20"/>
          <w:szCs w:val="20"/>
        </w:rPr>
        <w:t>Vir: Evropska komisija</w:t>
      </w:r>
    </w:p>
    <w:p w:rsidR="003D79C7" w:rsidRPr="00BB6B0D" w:rsidRDefault="003D79C7" w:rsidP="00BB6B0D">
      <w:pPr>
        <w:jc w:val="both"/>
        <w:rPr>
          <w:rFonts w:ascii="Arial" w:hAnsi="Arial" w:cs="Arial"/>
          <w:b/>
          <w:sz w:val="20"/>
          <w:szCs w:val="20"/>
        </w:rPr>
      </w:pPr>
      <w:r w:rsidRPr="00BB6B0D">
        <w:rPr>
          <w:rFonts w:ascii="Arial" w:hAnsi="Arial" w:cs="Arial"/>
          <w:b/>
          <w:sz w:val="20"/>
          <w:szCs w:val="20"/>
        </w:rPr>
        <w:t>Koristne informacije:</w:t>
      </w:r>
    </w:p>
    <w:p w:rsidR="003D79C7" w:rsidRPr="00BB6B0D" w:rsidRDefault="003D79C7" w:rsidP="00BB6B0D">
      <w:pPr>
        <w:pStyle w:val="Odstavekseznama"/>
        <w:numPr>
          <w:ilvl w:val="0"/>
          <w:numId w:val="1"/>
        </w:numPr>
        <w:jc w:val="both"/>
        <w:rPr>
          <w:rFonts w:ascii="Arial" w:hAnsi="Arial" w:cs="Arial"/>
          <w:sz w:val="20"/>
          <w:szCs w:val="20"/>
        </w:rPr>
      </w:pPr>
      <w:r w:rsidRPr="00BB6B0D">
        <w:rPr>
          <w:rFonts w:ascii="Arial" w:hAnsi="Arial" w:cs="Arial"/>
          <w:sz w:val="20"/>
          <w:szCs w:val="20"/>
        </w:rPr>
        <w:t xml:space="preserve">Posnetki sej </w:t>
      </w:r>
      <w:r w:rsidR="000D4773" w:rsidRPr="00BB6B0D">
        <w:rPr>
          <w:rFonts w:ascii="Arial" w:hAnsi="Arial" w:cs="Arial"/>
          <w:sz w:val="20"/>
          <w:szCs w:val="20"/>
        </w:rPr>
        <w:t>Strokovne skupine sklada za inovacije:</w:t>
      </w:r>
    </w:p>
    <w:p w:rsidR="000D4773" w:rsidRPr="00BB6B0D" w:rsidRDefault="000D4773" w:rsidP="00BB6B0D">
      <w:pPr>
        <w:pStyle w:val="Odstavekseznama"/>
        <w:numPr>
          <w:ilvl w:val="0"/>
          <w:numId w:val="1"/>
        </w:numPr>
        <w:jc w:val="both"/>
        <w:rPr>
          <w:rFonts w:ascii="Arial" w:hAnsi="Arial" w:cs="Arial"/>
          <w:sz w:val="20"/>
          <w:szCs w:val="20"/>
        </w:rPr>
      </w:pPr>
      <w:hyperlink r:id="rId6" w:history="1">
        <w:r w:rsidRPr="00BB6B0D">
          <w:rPr>
            <w:rStyle w:val="Hiperpovezava"/>
            <w:rFonts w:ascii="Arial" w:hAnsi="Arial" w:cs="Arial"/>
            <w:sz w:val="20"/>
            <w:szCs w:val="20"/>
          </w:rPr>
          <w:t>https://www.youtube.com/playlist?list=PLfRRcWLcpmM7CMWrfMI0DVIXl5GOkerFO</w:t>
        </w:r>
      </w:hyperlink>
    </w:p>
    <w:p w:rsidR="000D4773" w:rsidRPr="00BB6B0D" w:rsidRDefault="000D4773" w:rsidP="00BB6B0D">
      <w:pPr>
        <w:pStyle w:val="Odstavekseznama"/>
        <w:numPr>
          <w:ilvl w:val="0"/>
          <w:numId w:val="1"/>
        </w:numPr>
        <w:jc w:val="both"/>
        <w:rPr>
          <w:rFonts w:ascii="Arial" w:hAnsi="Arial" w:cs="Arial"/>
          <w:sz w:val="20"/>
          <w:szCs w:val="20"/>
        </w:rPr>
      </w:pPr>
      <w:r w:rsidRPr="00BB6B0D">
        <w:rPr>
          <w:rFonts w:ascii="Arial" w:hAnsi="Arial" w:cs="Arial"/>
          <w:sz w:val="20"/>
          <w:szCs w:val="20"/>
        </w:rPr>
        <w:t>Spletna stran z inovacijami o skladu za inovacije:</w:t>
      </w:r>
    </w:p>
    <w:p w:rsidR="000D4773" w:rsidRPr="00BB6B0D" w:rsidRDefault="000D4773" w:rsidP="00BB6B0D">
      <w:pPr>
        <w:pStyle w:val="Odstavekseznama"/>
        <w:numPr>
          <w:ilvl w:val="0"/>
          <w:numId w:val="1"/>
        </w:numPr>
        <w:jc w:val="both"/>
        <w:rPr>
          <w:rFonts w:ascii="Arial" w:hAnsi="Arial" w:cs="Arial"/>
          <w:sz w:val="20"/>
          <w:szCs w:val="20"/>
        </w:rPr>
      </w:pPr>
      <w:hyperlink r:id="rId7" w:history="1">
        <w:r w:rsidRPr="00BB6B0D">
          <w:rPr>
            <w:rStyle w:val="Hiperpovezava"/>
            <w:rFonts w:ascii="Arial" w:hAnsi="Arial" w:cs="Arial"/>
            <w:sz w:val="20"/>
            <w:szCs w:val="20"/>
          </w:rPr>
          <w:t>https://ec.europa.eu/clima/policies/innovation-fund_sl</w:t>
        </w:r>
      </w:hyperlink>
    </w:p>
    <w:p w:rsidR="000D4773" w:rsidRPr="00BB6B0D" w:rsidRDefault="000D4773" w:rsidP="00BB6B0D">
      <w:pPr>
        <w:pStyle w:val="Odstavekseznama"/>
        <w:numPr>
          <w:ilvl w:val="0"/>
          <w:numId w:val="1"/>
        </w:numPr>
        <w:jc w:val="both"/>
        <w:rPr>
          <w:rFonts w:ascii="Arial" w:hAnsi="Arial" w:cs="Arial"/>
          <w:sz w:val="20"/>
          <w:szCs w:val="20"/>
        </w:rPr>
      </w:pPr>
      <w:r w:rsidRPr="00BB6B0D">
        <w:rPr>
          <w:rFonts w:ascii="Arial" w:hAnsi="Arial" w:cs="Arial"/>
          <w:sz w:val="20"/>
          <w:szCs w:val="20"/>
        </w:rPr>
        <w:t>Napoved razpisov:</w:t>
      </w:r>
    </w:p>
    <w:p w:rsidR="000D4773" w:rsidRPr="00BB6B0D" w:rsidRDefault="000D4773" w:rsidP="00BB6B0D">
      <w:pPr>
        <w:pStyle w:val="Odstavekseznama"/>
        <w:numPr>
          <w:ilvl w:val="0"/>
          <w:numId w:val="1"/>
        </w:numPr>
        <w:jc w:val="both"/>
        <w:rPr>
          <w:rFonts w:ascii="Arial" w:hAnsi="Arial" w:cs="Arial"/>
          <w:sz w:val="20"/>
          <w:szCs w:val="20"/>
        </w:rPr>
      </w:pPr>
      <w:hyperlink r:id="rId8" w:history="1">
        <w:r w:rsidRPr="00BB6B0D">
          <w:rPr>
            <w:rStyle w:val="Hiperpovezava"/>
            <w:rFonts w:ascii="Arial" w:hAnsi="Arial" w:cs="Arial"/>
            <w:sz w:val="20"/>
            <w:szCs w:val="20"/>
          </w:rPr>
          <w:t>https://ec.europa.eu/clima/news/innovation-fund-commission-announces-planning-next-calls-proposals_en</w:t>
        </w:r>
      </w:hyperlink>
    </w:p>
    <w:p w:rsidR="000D4773" w:rsidRPr="00BB6B0D" w:rsidRDefault="000D4773" w:rsidP="00BB6B0D">
      <w:pPr>
        <w:spacing w:after="0"/>
        <w:jc w:val="both"/>
        <w:rPr>
          <w:rFonts w:ascii="Arial" w:hAnsi="Arial" w:cs="Arial"/>
          <w:sz w:val="20"/>
          <w:szCs w:val="20"/>
        </w:rPr>
      </w:pPr>
      <w:r w:rsidRPr="00BB6B0D">
        <w:rPr>
          <w:rFonts w:ascii="Arial" w:hAnsi="Arial" w:cs="Arial"/>
          <w:sz w:val="20"/>
          <w:szCs w:val="20"/>
        </w:rPr>
        <w:t>Pripravila:</w:t>
      </w:r>
    </w:p>
    <w:p w:rsidR="000D4773" w:rsidRPr="00BB6B0D" w:rsidRDefault="000D4773" w:rsidP="00BB6B0D">
      <w:pPr>
        <w:spacing w:after="0"/>
        <w:jc w:val="both"/>
        <w:rPr>
          <w:rFonts w:ascii="Arial" w:hAnsi="Arial" w:cs="Arial"/>
          <w:sz w:val="20"/>
          <w:szCs w:val="20"/>
        </w:rPr>
      </w:pPr>
      <w:r w:rsidRPr="00BB6B0D">
        <w:rPr>
          <w:rFonts w:ascii="Arial" w:hAnsi="Arial" w:cs="Arial"/>
          <w:sz w:val="20"/>
          <w:szCs w:val="20"/>
        </w:rPr>
        <w:t>Darja Kocbek</w:t>
      </w:r>
    </w:p>
    <w:p w:rsidR="0034457E" w:rsidRDefault="0034457E" w:rsidP="00BB6B0D">
      <w:pPr>
        <w:spacing w:after="0"/>
      </w:pPr>
    </w:p>
    <w:sectPr w:rsidR="0034457E" w:rsidSect="003445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B1137"/>
    <w:multiLevelType w:val="hybridMultilevel"/>
    <w:tmpl w:val="1C08DD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00AF"/>
    <w:rsid w:val="000D4773"/>
    <w:rsid w:val="0034457E"/>
    <w:rsid w:val="003D79C7"/>
    <w:rsid w:val="004725D3"/>
    <w:rsid w:val="0050309D"/>
    <w:rsid w:val="00855F3F"/>
    <w:rsid w:val="00992C66"/>
    <w:rsid w:val="00B34535"/>
    <w:rsid w:val="00BB6B0D"/>
    <w:rsid w:val="00E000A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4457E"/>
  </w:style>
  <w:style w:type="paragraph" w:styleId="Naslov2">
    <w:name w:val="heading 2"/>
    <w:basedOn w:val="Navaden"/>
    <w:link w:val="Naslov2Znak"/>
    <w:uiPriority w:val="9"/>
    <w:qFormat/>
    <w:rsid w:val="00B3453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uiPriority w:val="99"/>
    <w:semiHidden/>
    <w:unhideWhenUsed/>
    <w:rsid w:val="00E0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E000AF"/>
    <w:rPr>
      <w:rFonts w:ascii="Courier New" w:eastAsia="Times New Roman" w:hAnsi="Courier New" w:cs="Courier New"/>
      <w:sz w:val="20"/>
      <w:szCs w:val="20"/>
      <w:lang w:eastAsia="sl-SI"/>
    </w:rPr>
  </w:style>
  <w:style w:type="character" w:customStyle="1" w:styleId="y2iqfc">
    <w:name w:val="y2iqfc"/>
    <w:basedOn w:val="Privzetapisavaodstavka"/>
    <w:rsid w:val="00E000AF"/>
  </w:style>
  <w:style w:type="table" w:styleId="Tabela-mrea">
    <w:name w:val="Table Grid"/>
    <w:basedOn w:val="Navadnatabela"/>
    <w:uiPriority w:val="59"/>
    <w:rsid w:val="00992C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0D4773"/>
    <w:rPr>
      <w:color w:val="0000FF" w:themeColor="hyperlink"/>
      <w:u w:val="single"/>
    </w:rPr>
  </w:style>
  <w:style w:type="paragraph" w:styleId="Odstavekseznama">
    <w:name w:val="List Paragraph"/>
    <w:basedOn w:val="Navaden"/>
    <w:uiPriority w:val="34"/>
    <w:qFormat/>
    <w:rsid w:val="00BB6B0D"/>
    <w:pPr>
      <w:ind w:left="720"/>
      <w:contextualSpacing/>
    </w:pPr>
  </w:style>
  <w:style w:type="character" w:customStyle="1" w:styleId="Naslov2Znak">
    <w:name w:val="Naslov 2 Znak"/>
    <w:basedOn w:val="Privzetapisavaodstavka"/>
    <w:link w:val="Naslov2"/>
    <w:uiPriority w:val="9"/>
    <w:rsid w:val="00B34535"/>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B3453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345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000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lima/news/innovation-fund-commission-announces-planning-next-calls-proposals_en" TargetMode="External"/><Relationship Id="rId3" Type="http://schemas.openxmlformats.org/officeDocument/2006/relationships/settings" Target="settings.xml"/><Relationship Id="rId7" Type="http://schemas.openxmlformats.org/officeDocument/2006/relationships/hyperlink" Target="https://ec.europa.eu/clima/policies/innovation-fund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playlist?list=PLfRRcWLcpmM7CMWrfMI0DVIXl5GOkerF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322</Words>
  <Characters>1838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2021-07-13T17:29:00Z</dcterms:created>
  <dcterms:modified xsi:type="dcterms:W3CDTF">2021-07-13T18:48:00Z</dcterms:modified>
</cp:coreProperties>
</file>