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3" w:rsidRPr="00083714" w:rsidRDefault="009B1D33" w:rsidP="009B1D3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D33" w:rsidRPr="00083714" w:rsidRDefault="009B1D33" w:rsidP="009B1D3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9B1D33" w:rsidRPr="00083714" w:rsidRDefault="009B1D33" w:rsidP="009B1D33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9B1D33" w:rsidRDefault="009B1D33" w:rsidP="009B1D3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117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9B1D33" w:rsidRPr="00083714" w:rsidRDefault="009B1D33" w:rsidP="009B1D3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20. julij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6A3367" w:rsidRDefault="009B1D33" w:rsidP="009B1D3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nov davčni sveženj</w:t>
      </w:r>
    </w:p>
    <w:p w:rsidR="00E955F2" w:rsidRPr="00B8589F" w:rsidRDefault="00757A4C" w:rsidP="00B8589F">
      <w:pPr>
        <w:jc w:val="both"/>
        <w:rPr>
          <w:rFonts w:ascii="Arial" w:hAnsi="Arial" w:cs="Arial"/>
          <w:b/>
          <w:i/>
        </w:rPr>
      </w:pPr>
      <w:r w:rsidRPr="00B8589F">
        <w:rPr>
          <w:rFonts w:ascii="Arial" w:hAnsi="Arial" w:cs="Arial"/>
          <w:b/>
          <w:i/>
        </w:rPr>
        <w:t>Evropska komisija je sprejela nov davčni sveženj, s katerim želi podpreti gospodarsko okrevanje in dolgoročno rast v Evropi. Sveženj je sestavljen iz treh pobud. Akcijski načrt za obdavčitev prinaša 25 različnih ukrepov, s katerimi bo obdavčitev postala enostavnejša, pravičnejša in bolj prilagojena sodobnemu gospodarstvu v prihodnjih letih. Predlog o upravnem sodelovanju (DAC 7) razširja pravila EU o davčni preglednosti na digitalne platforme. Sporočilo o dobrem davčnem upravljanju je osredotočeno na spodbujanje pravične obdavčitve in zajezitev nelojalne davčne konkurence v EU in na mednarodni ravni.</w:t>
      </w:r>
    </w:p>
    <w:p w:rsidR="00757A4C" w:rsidRPr="00B8589F" w:rsidRDefault="00757A4C" w:rsidP="00B8589F">
      <w:pPr>
        <w:jc w:val="both"/>
        <w:rPr>
          <w:rFonts w:ascii="Arial" w:hAnsi="Arial" w:cs="Arial"/>
          <w:b/>
          <w:sz w:val="20"/>
          <w:szCs w:val="20"/>
        </w:rPr>
      </w:pPr>
      <w:r w:rsidRPr="00B8589F">
        <w:rPr>
          <w:rFonts w:ascii="Arial" w:hAnsi="Arial" w:cs="Arial"/>
          <w:b/>
          <w:sz w:val="20"/>
          <w:szCs w:val="20"/>
        </w:rPr>
        <w:t>Akcijski načrt za obdavčitev</w:t>
      </w:r>
    </w:p>
    <w:p w:rsidR="00757A4C" w:rsidRPr="00B8589F" w:rsidRDefault="00757A4C" w:rsidP="00B8589F">
      <w:pPr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Predlagani ukrepi naj bi odstranili ovire v vseh fazah, od registracije do poročanja, plačila, preverjanja in reševanja sporov. Akcijski načrt naj bi bil državam članicam v pomoč pri izkoriščanju potenciala podatkov in novih tehnologij, boljšem boju proti davčnim goljufijam, izboljšanju izpolnjevanja obveznosti in zmanjšanju upravnih bremen.</w:t>
      </w:r>
    </w:p>
    <w:p w:rsidR="00757A4C" w:rsidRPr="00B8589F" w:rsidRDefault="00757A4C" w:rsidP="00B8589F">
      <w:pPr>
        <w:jc w:val="both"/>
        <w:rPr>
          <w:rFonts w:ascii="Arial" w:hAnsi="Arial" w:cs="Arial"/>
          <w:b/>
          <w:sz w:val="20"/>
          <w:szCs w:val="20"/>
        </w:rPr>
      </w:pPr>
      <w:r w:rsidRPr="00B8589F">
        <w:rPr>
          <w:rFonts w:ascii="Arial" w:hAnsi="Arial" w:cs="Arial"/>
          <w:b/>
          <w:sz w:val="20"/>
          <w:szCs w:val="20"/>
        </w:rPr>
        <w:t>Predlog o upravnem sodelovanju (DAC 7)</w:t>
      </w:r>
    </w:p>
    <w:p w:rsidR="00757A4C" w:rsidRPr="00B8589F" w:rsidRDefault="00757A4C" w:rsidP="00B8589F">
      <w:pPr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Ta predlog naj bi zagotovil, da bodo države članice avtomatično izmenjavale informacije o prihodkih, ki jih ustvarijo prodajalci na spletnih platformah. Predlog vsebuje tudi ukrepe za boj proti davčnim zlorabam, na primer s skupnim davčnim nadzorom.</w:t>
      </w:r>
    </w:p>
    <w:p w:rsidR="00757A4C" w:rsidRPr="00B8589F" w:rsidRDefault="00757A4C" w:rsidP="00B8589F">
      <w:pPr>
        <w:jc w:val="both"/>
        <w:rPr>
          <w:rFonts w:ascii="Arial" w:hAnsi="Arial" w:cs="Arial"/>
          <w:b/>
          <w:sz w:val="20"/>
          <w:szCs w:val="20"/>
        </w:rPr>
      </w:pPr>
      <w:r w:rsidRPr="00B8589F">
        <w:rPr>
          <w:rFonts w:ascii="Arial" w:hAnsi="Arial" w:cs="Arial"/>
          <w:b/>
          <w:sz w:val="20"/>
          <w:szCs w:val="20"/>
        </w:rPr>
        <w:t>Sporočilo o dobrem davčnem upravljanju</w:t>
      </w:r>
    </w:p>
    <w:p w:rsidR="00757A4C" w:rsidRPr="00B8589F" w:rsidRDefault="00757A4C" w:rsidP="00B8589F">
      <w:pPr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V tem sporočilu Evropska komisija predlaga reformo kodeksa ravnanja, ki obravnava davčno konkurenco in škodljive davčne prakse v EU. Predlaga tudi izboljšanje seznama EU z nekooperativnimi jurisdikcijami, ki obravnava države, ki niso članice EU in ki ne spoštujejo mednarodno dogovorjenih standardov. V sporočilu je predstavljen tudi pristop EU k sodelovanju z državami v razvoju na področju obdavčitve v skladu z agendo za trajnostni razvoj do leta 2030.</w:t>
      </w:r>
    </w:p>
    <w:p w:rsidR="009B1D33" w:rsidRDefault="009B1D33" w:rsidP="00B8589F">
      <w:pPr>
        <w:jc w:val="both"/>
        <w:rPr>
          <w:rFonts w:ascii="Arial" w:hAnsi="Arial" w:cs="Arial"/>
          <w:b/>
          <w:sz w:val="20"/>
          <w:szCs w:val="20"/>
        </w:rPr>
      </w:pPr>
    </w:p>
    <w:p w:rsidR="009B1D33" w:rsidRDefault="009B1D33" w:rsidP="00B8589F">
      <w:pPr>
        <w:jc w:val="both"/>
        <w:rPr>
          <w:rFonts w:ascii="Arial" w:hAnsi="Arial" w:cs="Arial"/>
          <w:b/>
          <w:sz w:val="20"/>
          <w:szCs w:val="20"/>
        </w:rPr>
      </w:pPr>
    </w:p>
    <w:p w:rsidR="009B1D33" w:rsidRDefault="009B1D33" w:rsidP="00B8589F">
      <w:pPr>
        <w:jc w:val="both"/>
        <w:rPr>
          <w:rFonts w:ascii="Arial" w:hAnsi="Arial" w:cs="Arial"/>
          <w:b/>
          <w:sz w:val="20"/>
          <w:szCs w:val="20"/>
        </w:rPr>
      </w:pPr>
    </w:p>
    <w:p w:rsidR="00757A4C" w:rsidRPr="00B8589F" w:rsidRDefault="00757A4C" w:rsidP="00B8589F">
      <w:pPr>
        <w:jc w:val="both"/>
        <w:rPr>
          <w:rFonts w:ascii="Arial" w:hAnsi="Arial" w:cs="Arial"/>
          <w:b/>
          <w:sz w:val="20"/>
          <w:szCs w:val="20"/>
        </w:rPr>
      </w:pPr>
      <w:r w:rsidRPr="00B8589F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757A4C" w:rsidRPr="00B8589F" w:rsidRDefault="00757A4C" w:rsidP="00B858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Spletna stran s predlogi Evropske komisije:</w:t>
      </w:r>
    </w:p>
    <w:p w:rsidR="00757A4C" w:rsidRPr="00B8589F" w:rsidRDefault="00757A4C" w:rsidP="00B8589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B8589F">
          <w:rPr>
            <w:rStyle w:val="Hiperpovezava"/>
            <w:rFonts w:ascii="Arial" w:hAnsi="Arial" w:cs="Arial"/>
            <w:sz w:val="20"/>
            <w:szCs w:val="20"/>
          </w:rPr>
          <w:t>https://ec.europa.eu/taxation_customs/general-information-taxation/eu-tax-policy-strategy/taxation-package_en</w:t>
        </w:r>
      </w:hyperlink>
    </w:p>
    <w:p w:rsidR="00757A4C" w:rsidRPr="00B8589F" w:rsidRDefault="00757A4C" w:rsidP="00B858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Pripravila:</w:t>
      </w:r>
    </w:p>
    <w:p w:rsidR="00757A4C" w:rsidRPr="00B8589F" w:rsidRDefault="00757A4C" w:rsidP="00B858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589F">
        <w:rPr>
          <w:rFonts w:ascii="Arial" w:hAnsi="Arial" w:cs="Arial"/>
          <w:sz w:val="20"/>
          <w:szCs w:val="20"/>
        </w:rPr>
        <w:t>Darja Kocbek</w:t>
      </w:r>
    </w:p>
    <w:sectPr w:rsidR="00757A4C" w:rsidRPr="00B8589F" w:rsidSect="00E95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3E52"/>
    <w:multiLevelType w:val="hybridMultilevel"/>
    <w:tmpl w:val="FBD26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A4C"/>
    <w:rsid w:val="006A3367"/>
    <w:rsid w:val="00757A4C"/>
    <w:rsid w:val="009B1D33"/>
    <w:rsid w:val="00B8589F"/>
    <w:rsid w:val="00E9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55F2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B1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757A4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757A4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589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B1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1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taxation_customs/general-information-taxation/eu-tax-policy-strategy/taxation-package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2020-07-15T15:31:00Z</dcterms:created>
  <dcterms:modified xsi:type="dcterms:W3CDTF">2020-07-15T15:46:00Z</dcterms:modified>
</cp:coreProperties>
</file>