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0E" w:rsidRPr="00467345" w:rsidRDefault="0027260E" w:rsidP="0027260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7260E" w:rsidRPr="00083714" w:rsidRDefault="0027260E" w:rsidP="0027260E">
      <w:pPr>
        <w:pStyle w:val="Naslov2"/>
        <w:tabs>
          <w:tab w:val="left" w:pos="3120"/>
        </w:tabs>
        <w:spacing w:before="240"/>
        <w:jc w:val="center"/>
        <w:rPr>
          <w:b w:val="0"/>
          <w:bCs w:val="0"/>
          <w:i/>
          <w:iCs/>
          <w:sz w:val="22"/>
        </w:rPr>
      </w:pPr>
      <w:r w:rsidRPr="00083714">
        <w:rPr>
          <w:sz w:val="22"/>
        </w:rPr>
        <w:t>Slovensko gospodarsko in raziskovalno združenje, Bruselj</w:t>
      </w:r>
    </w:p>
    <w:p w:rsidR="0027260E" w:rsidRPr="00083714" w:rsidRDefault="0027260E" w:rsidP="0027260E">
      <w:pPr>
        <w:pBdr>
          <w:bottom w:val="single" w:sz="6" w:space="1" w:color="auto"/>
        </w:pBdr>
        <w:tabs>
          <w:tab w:val="left" w:pos="3120"/>
        </w:tabs>
        <w:spacing w:before="240"/>
        <w:rPr>
          <w:sz w:val="16"/>
          <w:szCs w:val="16"/>
        </w:rPr>
      </w:pPr>
    </w:p>
    <w:p w:rsidR="0027260E" w:rsidRDefault="0027260E" w:rsidP="0027260E">
      <w:pPr>
        <w:tabs>
          <w:tab w:val="left" w:pos="3120"/>
        </w:tabs>
        <w:spacing w:before="240"/>
        <w:rPr>
          <w:b/>
        </w:rPr>
      </w:pPr>
      <w:r w:rsidRPr="00083714">
        <w:rPr>
          <w:b/>
        </w:rPr>
        <w:tab/>
      </w:r>
      <w:r>
        <w:rPr>
          <w:b/>
        </w:rPr>
        <w:t xml:space="preserve">Občasna informacija članom 116 </w:t>
      </w:r>
      <w:r w:rsidRPr="00083714">
        <w:rPr>
          <w:b/>
        </w:rPr>
        <w:t>– 20</w:t>
      </w:r>
      <w:r>
        <w:rPr>
          <w:b/>
        </w:rPr>
        <w:t>22</w:t>
      </w:r>
    </w:p>
    <w:p w:rsidR="0027260E" w:rsidRPr="0002310E" w:rsidRDefault="0027260E" w:rsidP="0027260E">
      <w:pPr>
        <w:tabs>
          <w:tab w:val="left" w:pos="3120"/>
        </w:tabs>
        <w:spacing w:before="240"/>
        <w:jc w:val="center"/>
        <w:rPr>
          <w:b/>
        </w:rPr>
      </w:pPr>
      <w:r>
        <w:rPr>
          <w:b/>
        </w:rPr>
        <w:t xml:space="preserve">11. julij </w:t>
      </w:r>
      <w:r w:rsidRPr="00083714">
        <w:rPr>
          <w:b/>
        </w:rPr>
        <w:t xml:space="preserve"> 20</w:t>
      </w:r>
      <w:r>
        <w:rPr>
          <w:b/>
        </w:rPr>
        <w:t>22</w:t>
      </w:r>
    </w:p>
    <w:p w:rsidR="0027260E" w:rsidRDefault="0027260E" w:rsidP="0027260E">
      <w:pPr>
        <w:jc w:val="center"/>
        <w:rPr>
          <w:rFonts w:ascii="Arial" w:hAnsi="Arial" w:cs="Arial"/>
          <w:b/>
          <w:i/>
        </w:rPr>
      </w:pPr>
      <w:r>
        <w:rPr>
          <w:b/>
          <w:color w:val="993300"/>
          <w:sz w:val="32"/>
          <w:szCs w:val="32"/>
        </w:rPr>
        <w:t>Nov evropski program za inovacije</w:t>
      </w:r>
    </w:p>
    <w:p w:rsidR="0002062C" w:rsidRPr="0071180A" w:rsidRDefault="006C2372" w:rsidP="0071180A">
      <w:pPr>
        <w:jc w:val="both"/>
        <w:rPr>
          <w:rFonts w:ascii="Arial" w:hAnsi="Arial" w:cs="Arial"/>
          <w:b/>
          <w:i/>
        </w:rPr>
      </w:pPr>
      <w:r w:rsidRPr="0071180A">
        <w:rPr>
          <w:rFonts w:ascii="Arial" w:hAnsi="Arial" w:cs="Arial"/>
          <w:b/>
          <w:i/>
        </w:rPr>
        <w:t>Evropska komisija je sprejela nov evropski program za inovacije, ki naj bi Evropi pomagal pri razvoju novih tehnologij za reševanje najbolj perečih družbenih izzivov in njihovem uvajanju na trg. Program vsebuje 25 namenskih ukrepov v okviru petih vodilnih pobud.</w:t>
      </w:r>
      <w:r w:rsidR="00947C06" w:rsidRPr="0071180A">
        <w:rPr>
          <w:rFonts w:ascii="Arial" w:hAnsi="Arial" w:cs="Arial"/>
          <w:b/>
          <w:i/>
        </w:rPr>
        <w:t xml:space="preserve"> Zagonskim podjetjem in podjetjem v razširitveni fazi naj bi omogočil lažji dostop do financiranja, inovatorjem omogočil preskušanje novih zamisli z </w:t>
      </w:r>
      <w:proofErr w:type="spellStart"/>
      <w:r w:rsidR="00947C06" w:rsidRPr="0071180A">
        <w:rPr>
          <w:rFonts w:ascii="Arial" w:hAnsi="Arial" w:cs="Arial"/>
          <w:b/>
          <w:i/>
        </w:rPr>
        <w:t>regulativnimi</w:t>
      </w:r>
      <w:proofErr w:type="spellEnd"/>
      <w:r w:rsidR="00947C06" w:rsidRPr="0071180A">
        <w:rPr>
          <w:rFonts w:ascii="Arial" w:hAnsi="Arial" w:cs="Arial"/>
          <w:b/>
          <w:i/>
        </w:rPr>
        <w:t xml:space="preserve"> peskovniki, pomagal ustvariti »regionalne inovacijske doline«. Člani lahko dobijo več informacij na SBRA.</w:t>
      </w:r>
    </w:p>
    <w:p w:rsidR="006C2372" w:rsidRPr="0071180A" w:rsidRDefault="00947C06" w:rsidP="0071180A">
      <w:pPr>
        <w:jc w:val="both"/>
        <w:rPr>
          <w:rFonts w:ascii="Arial" w:hAnsi="Arial" w:cs="Arial"/>
          <w:b/>
          <w:sz w:val="20"/>
          <w:szCs w:val="20"/>
        </w:rPr>
      </w:pPr>
      <w:r w:rsidRPr="0071180A">
        <w:rPr>
          <w:rFonts w:ascii="Arial" w:hAnsi="Arial" w:cs="Arial"/>
          <w:b/>
          <w:sz w:val="20"/>
          <w:szCs w:val="20"/>
        </w:rPr>
        <w:t>Tabela 1: Predstavitev vodilnih pobud</w:t>
      </w:r>
    </w:p>
    <w:tbl>
      <w:tblPr>
        <w:tblStyle w:val="Tabela-mrea"/>
        <w:tblW w:w="0" w:type="auto"/>
        <w:tblLook w:val="04A0"/>
      </w:tblPr>
      <w:tblGrid>
        <w:gridCol w:w="4606"/>
        <w:gridCol w:w="4606"/>
      </w:tblGrid>
      <w:tr w:rsidR="00947C06" w:rsidRPr="0071180A" w:rsidTr="00947C06">
        <w:tc>
          <w:tcPr>
            <w:tcW w:w="4606" w:type="dxa"/>
          </w:tcPr>
          <w:p w:rsidR="00947C06" w:rsidRPr="0071180A" w:rsidRDefault="00947C06" w:rsidP="0071180A">
            <w:pPr>
              <w:jc w:val="both"/>
              <w:rPr>
                <w:rFonts w:ascii="Arial" w:hAnsi="Arial" w:cs="Arial"/>
                <w:b/>
                <w:sz w:val="20"/>
                <w:szCs w:val="20"/>
              </w:rPr>
            </w:pPr>
            <w:r w:rsidRPr="0071180A">
              <w:rPr>
                <w:rFonts w:ascii="Arial" w:hAnsi="Arial" w:cs="Arial"/>
                <w:b/>
                <w:sz w:val="20"/>
                <w:szCs w:val="20"/>
              </w:rPr>
              <w:t>Vodilna pobuda</w:t>
            </w:r>
          </w:p>
        </w:tc>
        <w:tc>
          <w:tcPr>
            <w:tcW w:w="4606" w:type="dxa"/>
          </w:tcPr>
          <w:p w:rsidR="00947C06" w:rsidRPr="0071180A" w:rsidRDefault="00947C06" w:rsidP="0071180A">
            <w:pPr>
              <w:jc w:val="both"/>
              <w:rPr>
                <w:rFonts w:ascii="Arial" w:hAnsi="Arial" w:cs="Arial"/>
                <w:b/>
                <w:sz w:val="20"/>
                <w:szCs w:val="20"/>
              </w:rPr>
            </w:pPr>
            <w:r w:rsidRPr="0071180A">
              <w:rPr>
                <w:rFonts w:ascii="Arial" w:hAnsi="Arial" w:cs="Arial"/>
                <w:b/>
                <w:sz w:val="20"/>
                <w:szCs w:val="20"/>
              </w:rPr>
              <w:t>Namen</w:t>
            </w:r>
          </w:p>
        </w:tc>
      </w:tr>
      <w:tr w:rsidR="00947C06" w:rsidRPr="0071180A" w:rsidTr="00947C06">
        <w:tc>
          <w:tcPr>
            <w:tcW w:w="4606" w:type="dxa"/>
          </w:tcPr>
          <w:p w:rsidR="00947C06" w:rsidRPr="0071180A" w:rsidRDefault="00947C06" w:rsidP="0071180A">
            <w:pPr>
              <w:jc w:val="both"/>
              <w:rPr>
                <w:rFonts w:ascii="Arial" w:hAnsi="Arial" w:cs="Arial"/>
                <w:b/>
                <w:sz w:val="20"/>
                <w:szCs w:val="20"/>
              </w:rPr>
            </w:pPr>
            <w:r w:rsidRPr="0071180A">
              <w:rPr>
                <w:rFonts w:ascii="Arial" w:hAnsi="Arial" w:cs="Arial"/>
                <w:b/>
                <w:sz w:val="20"/>
                <w:szCs w:val="20"/>
              </w:rPr>
              <w:t xml:space="preserve">Financiranje podjetij v razširitveni fazi </w:t>
            </w:r>
          </w:p>
        </w:tc>
        <w:tc>
          <w:tcPr>
            <w:tcW w:w="4606" w:type="dxa"/>
          </w:tcPr>
          <w:p w:rsidR="00947C06" w:rsidRPr="0027260E" w:rsidRDefault="00947C06" w:rsidP="0071180A">
            <w:pPr>
              <w:jc w:val="both"/>
              <w:rPr>
                <w:rFonts w:ascii="Arial" w:hAnsi="Arial" w:cs="Arial"/>
                <w:sz w:val="17"/>
                <w:szCs w:val="17"/>
              </w:rPr>
            </w:pPr>
            <w:r w:rsidRPr="0027260E">
              <w:rPr>
                <w:rFonts w:ascii="Arial" w:hAnsi="Arial" w:cs="Arial"/>
                <w:sz w:val="17"/>
                <w:szCs w:val="17"/>
              </w:rPr>
              <w:t>Spodbuditi institucionalne in druge zasebne vlagatelje v Evropi k vlaganju v širjenje evropskih zagonskih podjetij, ki se ukvarjajo z inovacijsko intenzivnimi tehnologijami</w:t>
            </w:r>
          </w:p>
        </w:tc>
      </w:tr>
      <w:tr w:rsidR="00947C06" w:rsidRPr="0071180A" w:rsidTr="00947C06">
        <w:tc>
          <w:tcPr>
            <w:tcW w:w="4606" w:type="dxa"/>
          </w:tcPr>
          <w:p w:rsidR="00947C06" w:rsidRPr="0071180A" w:rsidRDefault="00947C06" w:rsidP="0071180A">
            <w:pPr>
              <w:jc w:val="both"/>
              <w:rPr>
                <w:rFonts w:ascii="Arial" w:hAnsi="Arial" w:cs="Arial"/>
                <w:b/>
                <w:sz w:val="20"/>
                <w:szCs w:val="20"/>
              </w:rPr>
            </w:pPr>
            <w:r w:rsidRPr="0071180A">
              <w:rPr>
                <w:rFonts w:ascii="Arial" w:hAnsi="Arial" w:cs="Arial"/>
                <w:b/>
                <w:sz w:val="20"/>
                <w:szCs w:val="20"/>
              </w:rPr>
              <w:t>Lajšanje inovacij z možnostmi za preskušanje in javnim naročanjem</w:t>
            </w:r>
          </w:p>
        </w:tc>
        <w:tc>
          <w:tcPr>
            <w:tcW w:w="4606" w:type="dxa"/>
          </w:tcPr>
          <w:p w:rsidR="00947C06" w:rsidRPr="0027260E" w:rsidRDefault="00947C06" w:rsidP="0071180A">
            <w:pPr>
              <w:jc w:val="both"/>
              <w:rPr>
                <w:rFonts w:ascii="Arial" w:hAnsi="Arial" w:cs="Arial"/>
                <w:sz w:val="17"/>
                <w:szCs w:val="17"/>
              </w:rPr>
            </w:pPr>
            <w:r w:rsidRPr="0027260E">
              <w:rPr>
                <w:rFonts w:ascii="Arial" w:hAnsi="Arial" w:cs="Arial"/>
                <w:sz w:val="17"/>
                <w:szCs w:val="17"/>
              </w:rPr>
              <w:t xml:space="preserve">Spodbuditi inovacije z izboljšanimi okvirnimi pogoji, tudi z eksperimentalnimi </w:t>
            </w:r>
            <w:proofErr w:type="spellStart"/>
            <w:r w:rsidRPr="0027260E">
              <w:rPr>
                <w:rFonts w:ascii="Arial" w:hAnsi="Arial" w:cs="Arial"/>
                <w:sz w:val="17"/>
                <w:szCs w:val="17"/>
              </w:rPr>
              <w:t>regulativnimi</w:t>
            </w:r>
            <w:proofErr w:type="spellEnd"/>
            <w:r w:rsidRPr="0027260E">
              <w:rPr>
                <w:rFonts w:ascii="Arial" w:hAnsi="Arial" w:cs="Arial"/>
                <w:sz w:val="17"/>
                <w:szCs w:val="17"/>
              </w:rPr>
              <w:t xml:space="preserve"> pristopi, kot so na primer </w:t>
            </w:r>
            <w:proofErr w:type="spellStart"/>
            <w:r w:rsidRPr="0027260E">
              <w:rPr>
                <w:rFonts w:ascii="Arial" w:hAnsi="Arial" w:cs="Arial"/>
                <w:sz w:val="17"/>
                <w:szCs w:val="17"/>
              </w:rPr>
              <w:t>regulativni</w:t>
            </w:r>
            <w:proofErr w:type="spellEnd"/>
            <w:r w:rsidRPr="0027260E">
              <w:rPr>
                <w:rFonts w:ascii="Arial" w:hAnsi="Arial" w:cs="Arial"/>
                <w:sz w:val="17"/>
                <w:szCs w:val="17"/>
              </w:rPr>
              <w:t xml:space="preserve"> peskovniki, </w:t>
            </w:r>
            <w:proofErr w:type="spellStart"/>
            <w:r w:rsidRPr="0027260E">
              <w:rPr>
                <w:rFonts w:ascii="Arial" w:hAnsi="Arial" w:cs="Arial"/>
                <w:sz w:val="17"/>
                <w:szCs w:val="17"/>
              </w:rPr>
              <w:t>preskuševalne</w:t>
            </w:r>
            <w:proofErr w:type="spellEnd"/>
            <w:r w:rsidRPr="0027260E">
              <w:rPr>
                <w:rFonts w:ascii="Arial" w:hAnsi="Arial" w:cs="Arial"/>
                <w:sz w:val="17"/>
                <w:szCs w:val="17"/>
              </w:rPr>
              <w:t xml:space="preserve"> platforme, živi laboratoriji in javno naročanje inovativnih rešitev.</w:t>
            </w:r>
          </w:p>
        </w:tc>
      </w:tr>
      <w:tr w:rsidR="00947C06" w:rsidRPr="0071180A" w:rsidTr="00947C06">
        <w:tc>
          <w:tcPr>
            <w:tcW w:w="4606" w:type="dxa"/>
          </w:tcPr>
          <w:p w:rsidR="00947C06" w:rsidRPr="0071180A" w:rsidRDefault="00461878" w:rsidP="0071180A">
            <w:pPr>
              <w:jc w:val="both"/>
              <w:rPr>
                <w:rFonts w:ascii="Arial" w:hAnsi="Arial" w:cs="Arial"/>
                <w:b/>
                <w:sz w:val="20"/>
                <w:szCs w:val="20"/>
              </w:rPr>
            </w:pPr>
            <w:r w:rsidRPr="0071180A">
              <w:rPr>
                <w:rFonts w:ascii="Arial" w:hAnsi="Arial" w:cs="Arial"/>
                <w:b/>
                <w:sz w:val="20"/>
                <w:szCs w:val="20"/>
              </w:rPr>
              <w:t>Pospešitev in okrepitev inovacij v evropskih inovacijskih ekosistemih po vsej EU</w:t>
            </w:r>
          </w:p>
        </w:tc>
        <w:tc>
          <w:tcPr>
            <w:tcW w:w="4606" w:type="dxa"/>
          </w:tcPr>
          <w:p w:rsidR="00947C06" w:rsidRPr="0027260E" w:rsidRDefault="00461878" w:rsidP="0071180A">
            <w:pPr>
              <w:jc w:val="both"/>
              <w:rPr>
                <w:rFonts w:ascii="Arial" w:hAnsi="Arial" w:cs="Arial"/>
                <w:sz w:val="17"/>
                <w:szCs w:val="17"/>
              </w:rPr>
            </w:pPr>
            <w:r w:rsidRPr="0027260E">
              <w:rPr>
                <w:rFonts w:ascii="Arial" w:hAnsi="Arial" w:cs="Arial"/>
                <w:sz w:val="17"/>
                <w:szCs w:val="17"/>
              </w:rPr>
              <w:t xml:space="preserve">Podpreti oblikovanje regionalnih inovacijskih dolin ter državam članicam in regijam pomagati usmeriti vsaj 10 milijard evrov v konkretne </w:t>
            </w:r>
            <w:proofErr w:type="spellStart"/>
            <w:r w:rsidRPr="0027260E">
              <w:rPr>
                <w:rFonts w:ascii="Arial" w:hAnsi="Arial" w:cs="Arial"/>
                <w:sz w:val="17"/>
                <w:szCs w:val="17"/>
              </w:rPr>
              <w:t>medregionalne</w:t>
            </w:r>
            <w:proofErr w:type="spellEnd"/>
            <w:r w:rsidRPr="0027260E">
              <w:rPr>
                <w:rFonts w:ascii="Arial" w:hAnsi="Arial" w:cs="Arial"/>
                <w:sz w:val="17"/>
                <w:szCs w:val="17"/>
              </w:rPr>
              <w:t xml:space="preserve"> inovacijske projekte, tudi v visokotehnološke inovacijske rešitve za ključne prednostne naloge EU. </w:t>
            </w:r>
          </w:p>
        </w:tc>
      </w:tr>
      <w:tr w:rsidR="00947C06" w:rsidRPr="0071180A" w:rsidTr="00947C06">
        <w:tc>
          <w:tcPr>
            <w:tcW w:w="4606" w:type="dxa"/>
          </w:tcPr>
          <w:p w:rsidR="00947C06" w:rsidRPr="0071180A" w:rsidRDefault="00461878" w:rsidP="0071180A">
            <w:pPr>
              <w:jc w:val="both"/>
              <w:rPr>
                <w:rFonts w:ascii="Arial" w:hAnsi="Arial" w:cs="Arial"/>
                <w:b/>
                <w:sz w:val="20"/>
                <w:szCs w:val="20"/>
              </w:rPr>
            </w:pPr>
            <w:r w:rsidRPr="0071180A">
              <w:rPr>
                <w:rFonts w:ascii="Arial" w:hAnsi="Arial" w:cs="Arial"/>
                <w:b/>
                <w:sz w:val="20"/>
                <w:szCs w:val="20"/>
              </w:rPr>
              <w:t>Privabljanje in ohranjanje talentov na področju inovacijsko intenzivnih tehnologij</w:t>
            </w:r>
          </w:p>
        </w:tc>
        <w:tc>
          <w:tcPr>
            <w:tcW w:w="4606" w:type="dxa"/>
          </w:tcPr>
          <w:p w:rsidR="00947C06" w:rsidRPr="0027260E" w:rsidRDefault="00461878" w:rsidP="0071180A">
            <w:pPr>
              <w:jc w:val="both"/>
              <w:rPr>
                <w:rFonts w:ascii="Arial" w:hAnsi="Arial" w:cs="Arial"/>
                <w:sz w:val="17"/>
                <w:szCs w:val="17"/>
              </w:rPr>
            </w:pPr>
            <w:r w:rsidRPr="0027260E">
              <w:rPr>
                <w:rFonts w:ascii="Arial" w:hAnsi="Arial" w:cs="Arial"/>
                <w:sz w:val="17"/>
                <w:szCs w:val="17"/>
              </w:rPr>
              <w:t>Zagotoviti razvoj in pretok nepogrešljivih talentov na področju inovacijsko intenzivne tehnologije z več pobudami med katerimi so pripravništva na področju inovacij za zagonska podjetja in podjetja v razširitveni fazi, nabor talentov v EU, s katerim bi zagonskim in inovativnim podjetjem pomagali najti talente iz držav nečlanic EU, program za ženske v podjetništvu in na vodstvenih položajih ter delniške opcije za zaposlene v zagonskih podjetjih</w:t>
            </w:r>
          </w:p>
        </w:tc>
      </w:tr>
      <w:tr w:rsidR="00947C06" w:rsidRPr="0071180A" w:rsidTr="00947C06">
        <w:tc>
          <w:tcPr>
            <w:tcW w:w="4606" w:type="dxa"/>
          </w:tcPr>
          <w:p w:rsidR="00947C06" w:rsidRPr="0071180A" w:rsidRDefault="00461878" w:rsidP="0071180A">
            <w:pPr>
              <w:jc w:val="both"/>
              <w:rPr>
                <w:rFonts w:ascii="Arial" w:hAnsi="Arial" w:cs="Arial"/>
                <w:b/>
                <w:sz w:val="20"/>
                <w:szCs w:val="20"/>
              </w:rPr>
            </w:pPr>
            <w:r w:rsidRPr="0071180A">
              <w:rPr>
                <w:rFonts w:ascii="Arial" w:hAnsi="Arial" w:cs="Arial"/>
                <w:b/>
                <w:sz w:val="20"/>
                <w:szCs w:val="20"/>
              </w:rPr>
              <w:t>Izboljšanje orodij za oblikovanje politik</w:t>
            </w:r>
          </w:p>
        </w:tc>
        <w:tc>
          <w:tcPr>
            <w:tcW w:w="4606" w:type="dxa"/>
          </w:tcPr>
          <w:p w:rsidR="00947C06" w:rsidRPr="0027260E" w:rsidRDefault="00461878" w:rsidP="0071180A">
            <w:pPr>
              <w:jc w:val="both"/>
              <w:rPr>
                <w:rFonts w:ascii="Arial" w:hAnsi="Arial" w:cs="Arial"/>
                <w:sz w:val="17"/>
                <w:szCs w:val="17"/>
              </w:rPr>
            </w:pPr>
            <w:r w:rsidRPr="0027260E">
              <w:rPr>
                <w:rFonts w:ascii="Arial" w:hAnsi="Arial" w:cs="Arial"/>
                <w:sz w:val="17"/>
                <w:szCs w:val="17"/>
              </w:rPr>
              <w:t>Zagotoviti razvoj in uporabo zanesljivih, primerljivih naborov podatkov in skupnih opredelitev (zagonska podjetja, podjetja v razširitveni fazi), ki bodo lahko podlaga za politike na vseh ravneh po vsej EU, pa tudi pri zagotavljanju boljšega usklajevanja politik na evropski ravni prek foruma Evropskega sveta za inovacije</w:t>
            </w:r>
          </w:p>
        </w:tc>
      </w:tr>
    </w:tbl>
    <w:p w:rsidR="00947C06" w:rsidRPr="0071180A" w:rsidRDefault="00461878" w:rsidP="0071180A">
      <w:pPr>
        <w:jc w:val="both"/>
        <w:rPr>
          <w:rFonts w:ascii="Arial" w:hAnsi="Arial" w:cs="Arial"/>
          <w:sz w:val="20"/>
          <w:szCs w:val="20"/>
        </w:rPr>
      </w:pPr>
      <w:r w:rsidRPr="0071180A">
        <w:rPr>
          <w:rFonts w:ascii="Arial" w:hAnsi="Arial" w:cs="Arial"/>
          <w:sz w:val="20"/>
          <w:szCs w:val="20"/>
        </w:rPr>
        <w:t>Vir: Evropska komisija</w:t>
      </w:r>
    </w:p>
    <w:p w:rsidR="0027260E" w:rsidRDefault="0027260E" w:rsidP="0071180A">
      <w:pPr>
        <w:jc w:val="both"/>
        <w:rPr>
          <w:rFonts w:ascii="Arial" w:hAnsi="Arial" w:cs="Arial"/>
          <w:b/>
          <w:sz w:val="20"/>
          <w:szCs w:val="20"/>
        </w:rPr>
      </w:pPr>
    </w:p>
    <w:p w:rsidR="0027260E" w:rsidRDefault="0027260E" w:rsidP="0071180A">
      <w:pPr>
        <w:jc w:val="both"/>
        <w:rPr>
          <w:rFonts w:ascii="Arial" w:hAnsi="Arial" w:cs="Arial"/>
          <w:b/>
          <w:sz w:val="20"/>
          <w:szCs w:val="20"/>
        </w:rPr>
      </w:pPr>
    </w:p>
    <w:p w:rsidR="00461878" w:rsidRPr="0071180A" w:rsidRDefault="00461878" w:rsidP="0071180A">
      <w:pPr>
        <w:jc w:val="both"/>
        <w:rPr>
          <w:rFonts w:ascii="Arial" w:hAnsi="Arial" w:cs="Arial"/>
          <w:b/>
          <w:sz w:val="20"/>
          <w:szCs w:val="20"/>
        </w:rPr>
      </w:pPr>
      <w:r w:rsidRPr="0071180A">
        <w:rPr>
          <w:rFonts w:ascii="Arial" w:hAnsi="Arial" w:cs="Arial"/>
          <w:b/>
          <w:sz w:val="20"/>
          <w:szCs w:val="20"/>
        </w:rPr>
        <w:t>Koristne informacije:</w:t>
      </w:r>
    </w:p>
    <w:p w:rsidR="00461878" w:rsidRPr="0071180A" w:rsidRDefault="00461878" w:rsidP="0071180A">
      <w:pPr>
        <w:pStyle w:val="Odstavekseznama"/>
        <w:numPr>
          <w:ilvl w:val="0"/>
          <w:numId w:val="1"/>
        </w:numPr>
        <w:jc w:val="both"/>
        <w:rPr>
          <w:rFonts w:ascii="Arial" w:hAnsi="Arial" w:cs="Arial"/>
          <w:sz w:val="20"/>
          <w:szCs w:val="20"/>
        </w:rPr>
      </w:pPr>
      <w:r w:rsidRPr="0071180A">
        <w:rPr>
          <w:rFonts w:ascii="Arial" w:hAnsi="Arial" w:cs="Arial"/>
          <w:sz w:val="20"/>
          <w:szCs w:val="20"/>
        </w:rPr>
        <w:t>Program:</w:t>
      </w:r>
    </w:p>
    <w:p w:rsidR="00461878" w:rsidRPr="0071180A" w:rsidRDefault="00461878" w:rsidP="0071180A">
      <w:pPr>
        <w:pStyle w:val="Odstavekseznama"/>
        <w:numPr>
          <w:ilvl w:val="0"/>
          <w:numId w:val="1"/>
        </w:numPr>
        <w:jc w:val="both"/>
        <w:rPr>
          <w:rFonts w:ascii="Arial" w:hAnsi="Arial" w:cs="Arial"/>
          <w:sz w:val="20"/>
          <w:szCs w:val="20"/>
        </w:rPr>
      </w:pPr>
      <w:hyperlink r:id="rId6" w:history="1">
        <w:r w:rsidRPr="0071180A">
          <w:rPr>
            <w:rStyle w:val="Hiperpovezava"/>
            <w:rFonts w:ascii="Arial" w:hAnsi="Arial" w:cs="Arial"/>
            <w:sz w:val="20"/>
            <w:szCs w:val="20"/>
          </w:rPr>
          <w:t>https://ec.europa.eu/research-and-innovation/en/strategy/support-policy-making/shaping-eu-research-and-innovation-policy/building-european-innovation-ecosystem</w:t>
        </w:r>
      </w:hyperlink>
    </w:p>
    <w:p w:rsidR="00461878" w:rsidRPr="0071180A" w:rsidRDefault="00461878" w:rsidP="0071180A">
      <w:pPr>
        <w:spacing w:after="0"/>
        <w:jc w:val="both"/>
        <w:rPr>
          <w:rFonts w:ascii="Arial" w:hAnsi="Arial" w:cs="Arial"/>
          <w:sz w:val="20"/>
          <w:szCs w:val="20"/>
        </w:rPr>
      </w:pPr>
      <w:r w:rsidRPr="0071180A">
        <w:rPr>
          <w:rFonts w:ascii="Arial" w:hAnsi="Arial" w:cs="Arial"/>
          <w:sz w:val="20"/>
          <w:szCs w:val="20"/>
        </w:rPr>
        <w:t>Pripravila:</w:t>
      </w:r>
    </w:p>
    <w:p w:rsidR="00461878" w:rsidRPr="0071180A" w:rsidRDefault="00461878" w:rsidP="0071180A">
      <w:pPr>
        <w:spacing w:after="0"/>
        <w:jc w:val="both"/>
        <w:rPr>
          <w:rFonts w:ascii="Arial" w:hAnsi="Arial" w:cs="Arial"/>
          <w:sz w:val="20"/>
          <w:szCs w:val="20"/>
        </w:rPr>
      </w:pPr>
      <w:r w:rsidRPr="0071180A">
        <w:rPr>
          <w:rFonts w:ascii="Arial" w:hAnsi="Arial" w:cs="Arial"/>
          <w:sz w:val="20"/>
          <w:szCs w:val="20"/>
        </w:rPr>
        <w:t>Darja Kocbek</w:t>
      </w:r>
    </w:p>
    <w:sectPr w:rsidR="00461878" w:rsidRPr="0071180A" w:rsidSect="000206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C0E59"/>
    <w:multiLevelType w:val="hybridMultilevel"/>
    <w:tmpl w:val="301C1C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2372"/>
    <w:rsid w:val="0002062C"/>
    <w:rsid w:val="0027260E"/>
    <w:rsid w:val="00461878"/>
    <w:rsid w:val="006C2372"/>
    <w:rsid w:val="0071180A"/>
    <w:rsid w:val="00947C0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062C"/>
  </w:style>
  <w:style w:type="paragraph" w:styleId="Naslov2">
    <w:name w:val="heading 2"/>
    <w:basedOn w:val="Navaden"/>
    <w:link w:val="Naslov2Znak"/>
    <w:uiPriority w:val="9"/>
    <w:qFormat/>
    <w:rsid w:val="0027260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C2372"/>
    <w:rPr>
      <w:color w:val="0000FF"/>
      <w:u w:val="single"/>
    </w:rPr>
  </w:style>
  <w:style w:type="character" w:styleId="Krepko">
    <w:name w:val="Strong"/>
    <w:basedOn w:val="Privzetapisavaodstavka"/>
    <w:uiPriority w:val="22"/>
    <w:qFormat/>
    <w:rsid w:val="006C2372"/>
    <w:rPr>
      <w:b/>
      <w:bCs/>
    </w:rPr>
  </w:style>
  <w:style w:type="table" w:styleId="Tabela-mrea">
    <w:name w:val="Table Grid"/>
    <w:basedOn w:val="Navadnatabela"/>
    <w:uiPriority w:val="59"/>
    <w:rsid w:val="00947C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71180A"/>
    <w:pPr>
      <w:ind w:left="720"/>
      <w:contextualSpacing/>
    </w:pPr>
  </w:style>
  <w:style w:type="character" w:customStyle="1" w:styleId="Naslov2Znak">
    <w:name w:val="Naslov 2 Znak"/>
    <w:basedOn w:val="Privzetapisavaodstavka"/>
    <w:link w:val="Naslov2"/>
    <w:uiPriority w:val="9"/>
    <w:rsid w:val="0027260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7260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2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search-and-innovation/en/strategy/support-policy-making/shaping-eu-research-and-innovation-policy/building-european-innovation-ecosyst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432</Words>
  <Characters>2467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2022-07-05T19:08:00Z</dcterms:created>
  <dcterms:modified xsi:type="dcterms:W3CDTF">2022-07-05T19:28:00Z</dcterms:modified>
</cp:coreProperties>
</file>