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1C" w:rsidRPr="00467345" w:rsidRDefault="002D471C" w:rsidP="002D471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D471C" w:rsidRPr="00301C78" w:rsidRDefault="002D471C" w:rsidP="002D471C">
      <w:pPr>
        <w:pStyle w:val="Naslov2"/>
        <w:tabs>
          <w:tab w:val="left" w:pos="3120"/>
        </w:tabs>
        <w:spacing w:before="0"/>
        <w:jc w:val="center"/>
        <w:rPr>
          <w:sz w:val="22"/>
        </w:rPr>
      </w:pPr>
      <w:r w:rsidRPr="00083714">
        <w:rPr>
          <w:sz w:val="22"/>
        </w:rPr>
        <w:t>Slovensko gospodarsko in raziskovalno združenje, Bruselj</w:t>
      </w:r>
    </w:p>
    <w:p w:rsidR="002D471C" w:rsidRPr="00083714" w:rsidRDefault="002D471C" w:rsidP="002D471C">
      <w:pPr>
        <w:pBdr>
          <w:bottom w:val="single" w:sz="6" w:space="1" w:color="auto"/>
        </w:pBdr>
        <w:tabs>
          <w:tab w:val="left" w:pos="3120"/>
        </w:tabs>
        <w:spacing w:before="240"/>
        <w:rPr>
          <w:sz w:val="16"/>
          <w:szCs w:val="16"/>
        </w:rPr>
      </w:pPr>
    </w:p>
    <w:p w:rsidR="002D471C" w:rsidRDefault="002D471C" w:rsidP="002D471C">
      <w:pPr>
        <w:tabs>
          <w:tab w:val="left" w:pos="3120"/>
        </w:tabs>
        <w:spacing w:before="240"/>
        <w:jc w:val="center"/>
        <w:rPr>
          <w:b/>
        </w:rPr>
      </w:pPr>
      <w:r>
        <w:rPr>
          <w:b/>
        </w:rPr>
        <w:t xml:space="preserve">Občasna informacija članom 114 </w:t>
      </w:r>
      <w:r w:rsidRPr="00083714">
        <w:rPr>
          <w:b/>
        </w:rPr>
        <w:t>– 20</w:t>
      </w:r>
      <w:r>
        <w:rPr>
          <w:b/>
        </w:rPr>
        <w:t>23</w:t>
      </w:r>
    </w:p>
    <w:p w:rsidR="002D471C" w:rsidRDefault="002D471C" w:rsidP="002D471C">
      <w:pPr>
        <w:tabs>
          <w:tab w:val="left" w:pos="3120"/>
        </w:tabs>
        <w:spacing w:before="240"/>
        <w:jc w:val="center"/>
        <w:rPr>
          <w:b/>
        </w:rPr>
      </w:pPr>
      <w:r>
        <w:rPr>
          <w:b/>
        </w:rPr>
        <w:t xml:space="preserve">10. julij </w:t>
      </w:r>
      <w:r w:rsidRPr="00083714">
        <w:rPr>
          <w:b/>
        </w:rPr>
        <w:t xml:space="preserve"> 20</w:t>
      </w:r>
      <w:r>
        <w:rPr>
          <w:b/>
        </w:rPr>
        <w:t>23</w:t>
      </w:r>
    </w:p>
    <w:p w:rsidR="00925FAD" w:rsidRDefault="002D471C" w:rsidP="002D471C">
      <w:pPr>
        <w:jc w:val="center"/>
        <w:rPr>
          <w:rFonts w:ascii="Arial" w:hAnsi="Arial" w:cs="Arial"/>
          <w:b/>
          <w:i/>
        </w:rPr>
      </w:pPr>
      <w:r>
        <w:rPr>
          <w:rFonts w:ascii="Arial" w:hAnsi="Arial" w:cs="Arial"/>
          <w:b/>
          <w:color w:val="993300"/>
          <w:sz w:val="32"/>
          <w:szCs w:val="32"/>
        </w:rPr>
        <w:t>Sveženj ukrepov za trajnostno rabo ključnih naravnih virov</w:t>
      </w:r>
    </w:p>
    <w:p w:rsidR="00FF6B77" w:rsidRPr="00EF7808" w:rsidRDefault="002C42B8" w:rsidP="00EF7808">
      <w:pPr>
        <w:jc w:val="both"/>
        <w:rPr>
          <w:rFonts w:ascii="Arial" w:hAnsi="Arial" w:cs="Arial"/>
          <w:b/>
          <w:i/>
        </w:rPr>
      </w:pPr>
      <w:r w:rsidRPr="00EF7808">
        <w:rPr>
          <w:rFonts w:ascii="Arial" w:hAnsi="Arial" w:cs="Arial"/>
          <w:b/>
          <w:i/>
        </w:rPr>
        <w:t xml:space="preserve">Evropska komisija je sprejela sveženj ukrepov za trajnostno rabo ključnih naravnih virov ter boljšo odpornost prehranskih sistemov in kmetijstva EU. Cilj zakonodaje o spremljanju tal je zagotoviti zdrava tla v EU do leta 2050. Nove </w:t>
      </w:r>
      <w:proofErr w:type="spellStart"/>
      <w:r w:rsidRPr="00EF7808">
        <w:rPr>
          <w:rFonts w:ascii="Arial" w:hAnsi="Arial" w:cs="Arial"/>
          <w:b/>
          <w:i/>
        </w:rPr>
        <w:t>genomske</w:t>
      </w:r>
      <w:proofErr w:type="spellEnd"/>
      <w:r w:rsidRPr="00EF7808">
        <w:rPr>
          <w:rFonts w:ascii="Arial" w:hAnsi="Arial" w:cs="Arial"/>
          <w:b/>
          <w:i/>
        </w:rPr>
        <w:t xml:space="preserve"> tehnike naj bi povečale pridelek in zmanjšale porabo pesticidov. Ukrepi za zmanjšanje odpadne hrane in tekstilnih odpadkov naj bi prispevali k učinkovitejši rabi naravnih virov in nadaljnjemu zmanjšanju emisij toplogrednih plinov na teh področjih.</w:t>
      </w:r>
    </w:p>
    <w:p w:rsidR="009D74D8" w:rsidRPr="00EF7808" w:rsidRDefault="009D74D8" w:rsidP="00EF7808">
      <w:pPr>
        <w:jc w:val="both"/>
        <w:rPr>
          <w:rFonts w:ascii="Arial" w:hAnsi="Arial" w:cs="Arial"/>
          <w:b/>
          <w:sz w:val="20"/>
          <w:szCs w:val="20"/>
        </w:rPr>
      </w:pPr>
      <w:r w:rsidRPr="00EF7808">
        <w:rPr>
          <w:rFonts w:ascii="Arial" w:hAnsi="Arial" w:cs="Arial"/>
          <w:b/>
          <w:sz w:val="20"/>
          <w:szCs w:val="20"/>
        </w:rPr>
        <w:t>Nova zakonodaja EU za povečanje vrednosti tal in njihovih virov</w:t>
      </w:r>
    </w:p>
    <w:p w:rsidR="009D74D8" w:rsidRPr="00EF7808" w:rsidRDefault="009D74D8" w:rsidP="00EF7808">
      <w:pPr>
        <w:jc w:val="both"/>
        <w:rPr>
          <w:rFonts w:ascii="Arial" w:hAnsi="Arial" w:cs="Arial"/>
          <w:sz w:val="20"/>
          <w:szCs w:val="20"/>
        </w:rPr>
      </w:pPr>
      <w:r w:rsidRPr="00EF7808">
        <w:rPr>
          <w:rFonts w:ascii="Arial" w:hAnsi="Arial" w:cs="Arial"/>
          <w:sz w:val="20"/>
          <w:szCs w:val="20"/>
        </w:rPr>
        <w:t>Evropska komisija v predlogu prve evropske zakonodaje o tleh predlaga usklajeno opredelitev zdravja tal, vzpostavitev celovitega in skladnega okvira za spremljanje ter ukrepe za spodbujanje trajnostnega upravljanja tal in za sanacijo onesnaženih območij.</w:t>
      </w:r>
    </w:p>
    <w:p w:rsidR="009D74D8" w:rsidRPr="00EF7808" w:rsidRDefault="009D74D8" w:rsidP="00EF7808">
      <w:pPr>
        <w:jc w:val="both"/>
        <w:rPr>
          <w:rFonts w:ascii="Arial" w:hAnsi="Arial" w:cs="Arial"/>
          <w:sz w:val="20"/>
          <w:szCs w:val="20"/>
        </w:rPr>
      </w:pPr>
      <w:r w:rsidRPr="00EF7808">
        <w:rPr>
          <w:rFonts w:ascii="Arial" w:hAnsi="Arial" w:cs="Arial"/>
          <w:sz w:val="20"/>
          <w:szCs w:val="20"/>
        </w:rPr>
        <w:t>Evropska komisija predlaga, da bodo države članice obravnavale nesprejemljiva tveganja za zdravje ljudi in okolje zaradi onesnaženosti tal, in sicer po načelu onesnaževalec plača. Države članice bodo morale opredeliti, raziskati, oceniti in sanirati onesnažena območja.</w:t>
      </w:r>
    </w:p>
    <w:p w:rsidR="009D74D8" w:rsidRPr="00EF7808" w:rsidRDefault="009D74D8" w:rsidP="00EF7808">
      <w:pPr>
        <w:jc w:val="both"/>
        <w:rPr>
          <w:rFonts w:ascii="Arial" w:hAnsi="Arial" w:cs="Arial"/>
          <w:b/>
          <w:sz w:val="20"/>
          <w:szCs w:val="20"/>
        </w:rPr>
      </w:pPr>
      <w:r w:rsidRPr="00EF7808">
        <w:rPr>
          <w:rFonts w:ascii="Arial" w:hAnsi="Arial" w:cs="Arial"/>
          <w:b/>
          <w:sz w:val="20"/>
          <w:szCs w:val="20"/>
        </w:rPr>
        <w:t xml:space="preserve">Nove </w:t>
      </w:r>
      <w:proofErr w:type="spellStart"/>
      <w:r w:rsidRPr="00EF7808">
        <w:rPr>
          <w:rFonts w:ascii="Arial" w:hAnsi="Arial" w:cs="Arial"/>
          <w:b/>
          <w:sz w:val="20"/>
          <w:szCs w:val="20"/>
        </w:rPr>
        <w:t>genomske</w:t>
      </w:r>
      <w:proofErr w:type="spellEnd"/>
      <w:r w:rsidRPr="00EF7808">
        <w:rPr>
          <w:rFonts w:ascii="Arial" w:hAnsi="Arial" w:cs="Arial"/>
          <w:b/>
          <w:sz w:val="20"/>
          <w:szCs w:val="20"/>
        </w:rPr>
        <w:t xml:space="preserve"> tehnike za boljšo odpornost prehranskih sistemov</w:t>
      </w:r>
    </w:p>
    <w:p w:rsidR="009D74D8" w:rsidRPr="00EF7808" w:rsidRDefault="00EB677E" w:rsidP="00EF7808">
      <w:pPr>
        <w:jc w:val="both"/>
        <w:rPr>
          <w:rFonts w:ascii="Arial" w:hAnsi="Arial" w:cs="Arial"/>
          <w:sz w:val="20"/>
          <w:szCs w:val="20"/>
        </w:rPr>
      </w:pPr>
      <w:r w:rsidRPr="00EF7808">
        <w:rPr>
          <w:rFonts w:ascii="Arial" w:hAnsi="Arial" w:cs="Arial"/>
          <w:sz w:val="20"/>
          <w:szCs w:val="20"/>
        </w:rPr>
        <w:t xml:space="preserve">Evropska komisija predlaga vzpostavitev dveh kategorij rastlin, pridobljenih z novimi </w:t>
      </w:r>
      <w:proofErr w:type="spellStart"/>
      <w:r w:rsidRPr="00EF7808">
        <w:rPr>
          <w:rFonts w:ascii="Arial" w:hAnsi="Arial" w:cs="Arial"/>
          <w:sz w:val="20"/>
          <w:szCs w:val="20"/>
        </w:rPr>
        <w:t>genomskimi</w:t>
      </w:r>
      <w:proofErr w:type="spellEnd"/>
      <w:r w:rsidRPr="00EF7808">
        <w:rPr>
          <w:rFonts w:ascii="Arial" w:hAnsi="Arial" w:cs="Arial"/>
          <w:sz w:val="20"/>
          <w:szCs w:val="20"/>
        </w:rPr>
        <w:t xml:space="preserve"> tehnikami. To so tiste, ki so primerljive z naravno prisotnimi ali konvencionalnimi rastlinami, in tiste s kompleksnejšimi spremembami. Za obe kategoriji naj bi veljale različne zahteve za vstop na trg ob upoštevanju njunih različnih značilnosti in profilov tveganja. Za rastline iz prve kategorije Evropska komisija predlaga, da jih bo treba priglasiti, rastline iz druge kategorije pa bodo predmet obsežnejšega postopka direktive o gensko spremenjenih organizmih.</w:t>
      </w:r>
    </w:p>
    <w:p w:rsidR="00EB677E" w:rsidRPr="00EF7808" w:rsidRDefault="00EB677E" w:rsidP="00EF7808">
      <w:pPr>
        <w:jc w:val="both"/>
        <w:rPr>
          <w:rFonts w:ascii="Arial" w:hAnsi="Arial" w:cs="Arial"/>
          <w:sz w:val="20"/>
          <w:szCs w:val="20"/>
        </w:rPr>
      </w:pPr>
      <w:r w:rsidRPr="00EF7808">
        <w:rPr>
          <w:rFonts w:ascii="Arial" w:hAnsi="Arial" w:cs="Arial"/>
          <w:sz w:val="20"/>
          <w:szCs w:val="20"/>
        </w:rPr>
        <w:t xml:space="preserve">Predlagana uredba o pridelavi in trženju rastlinskega in gozdnega razmnoževalnega materiala naj bi posodobila in poenostavila obstoječa pravila, od katerih so nekatera stara več kot pol stoletja. </w:t>
      </w:r>
    </w:p>
    <w:p w:rsidR="00EB677E" w:rsidRPr="00EF7808" w:rsidRDefault="00EB677E" w:rsidP="00EF7808">
      <w:pPr>
        <w:jc w:val="both"/>
        <w:rPr>
          <w:rFonts w:ascii="Arial" w:hAnsi="Arial" w:cs="Arial"/>
          <w:b/>
          <w:sz w:val="20"/>
          <w:szCs w:val="20"/>
        </w:rPr>
      </w:pPr>
      <w:r w:rsidRPr="00EF7808">
        <w:rPr>
          <w:rFonts w:ascii="Arial" w:hAnsi="Arial" w:cs="Arial"/>
          <w:b/>
          <w:sz w:val="20"/>
          <w:szCs w:val="20"/>
        </w:rPr>
        <w:t>Zmanjšanje odpadne hrane in tekstilnih odpadkov</w:t>
      </w:r>
    </w:p>
    <w:p w:rsidR="00EB677E" w:rsidRPr="00EF7808" w:rsidRDefault="00EB677E" w:rsidP="00EF7808">
      <w:pPr>
        <w:jc w:val="both"/>
        <w:rPr>
          <w:rFonts w:ascii="Arial" w:hAnsi="Arial" w:cs="Arial"/>
          <w:sz w:val="20"/>
          <w:szCs w:val="20"/>
        </w:rPr>
      </w:pPr>
      <w:r w:rsidRPr="00EF7808">
        <w:rPr>
          <w:rFonts w:ascii="Arial" w:hAnsi="Arial" w:cs="Arial"/>
          <w:sz w:val="20"/>
          <w:szCs w:val="20"/>
        </w:rPr>
        <w:t>Evropska komisija predlaga, da države članice do leta 2030 zmanjšajo količino odpadne hrane za 10 odstotkov pri predelavi in proizvodnji ter za 30 odstotkov (na prebivalca) pri prodaji na drobno in potrošnji (restavracije, gostinske storitve in gospodinjstva).</w:t>
      </w:r>
    </w:p>
    <w:p w:rsidR="00EB677E" w:rsidRPr="00EF7808" w:rsidRDefault="00EB677E" w:rsidP="00EF7808">
      <w:pPr>
        <w:jc w:val="both"/>
        <w:rPr>
          <w:rFonts w:ascii="Arial" w:hAnsi="Arial" w:cs="Arial"/>
          <w:sz w:val="20"/>
          <w:szCs w:val="20"/>
        </w:rPr>
      </w:pPr>
      <w:r w:rsidRPr="00EF7808">
        <w:rPr>
          <w:rFonts w:ascii="Arial" w:hAnsi="Arial" w:cs="Arial"/>
          <w:sz w:val="20"/>
          <w:szCs w:val="20"/>
        </w:rPr>
        <w:lastRenderedPageBreak/>
        <w:t>Evropska komisija predlaga pravila, s katerimi bi proizvajalci postali odgovorni za celoten življenjski cikel tekstilnih izdelkov in podprli trajnostno ravnanje s tekstilnimi odpadki po vsej EU.</w:t>
      </w:r>
    </w:p>
    <w:p w:rsidR="00EB677E" w:rsidRPr="00EF7808" w:rsidRDefault="00EB677E" w:rsidP="00EF7808">
      <w:pPr>
        <w:jc w:val="both"/>
        <w:rPr>
          <w:rFonts w:ascii="Arial" w:hAnsi="Arial" w:cs="Arial"/>
          <w:b/>
          <w:sz w:val="20"/>
          <w:szCs w:val="20"/>
        </w:rPr>
      </w:pPr>
      <w:r w:rsidRPr="00EF7808">
        <w:rPr>
          <w:rFonts w:ascii="Arial" w:hAnsi="Arial" w:cs="Arial"/>
          <w:b/>
          <w:sz w:val="20"/>
          <w:szCs w:val="20"/>
        </w:rPr>
        <w:t>Koristne informacije:</w:t>
      </w:r>
    </w:p>
    <w:p w:rsidR="00EB677E"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Sporočilo o trajnostni rabi naravnih virov:</w:t>
      </w:r>
    </w:p>
    <w:p w:rsidR="008C77EF" w:rsidRPr="00EF7808" w:rsidRDefault="008C77EF" w:rsidP="00EF7808">
      <w:pPr>
        <w:pStyle w:val="Odstavekseznama"/>
        <w:numPr>
          <w:ilvl w:val="0"/>
          <w:numId w:val="1"/>
        </w:numPr>
        <w:jc w:val="both"/>
        <w:rPr>
          <w:rFonts w:ascii="Arial" w:hAnsi="Arial" w:cs="Arial"/>
          <w:sz w:val="20"/>
          <w:szCs w:val="20"/>
        </w:rPr>
      </w:pPr>
      <w:hyperlink r:id="rId6" w:history="1">
        <w:r w:rsidRPr="00EF7808">
          <w:rPr>
            <w:rStyle w:val="Hiperpovezava"/>
            <w:rFonts w:ascii="Arial" w:hAnsi="Arial" w:cs="Arial"/>
            <w:sz w:val="20"/>
            <w:szCs w:val="20"/>
          </w:rPr>
          <w:t>https://commission.europa.eu/document/a2a71c6d-1dee-41bb-b2ee-51c1cb35d3f4_sl</w:t>
        </w:r>
      </w:hyperlink>
    </w:p>
    <w:p w:rsidR="008C77EF"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 xml:space="preserve">Predlog o novih </w:t>
      </w:r>
      <w:proofErr w:type="spellStart"/>
      <w:r w:rsidRPr="00EF7808">
        <w:rPr>
          <w:rFonts w:ascii="Arial" w:hAnsi="Arial" w:cs="Arial"/>
          <w:sz w:val="20"/>
          <w:szCs w:val="20"/>
        </w:rPr>
        <w:t>genomskih</w:t>
      </w:r>
      <w:proofErr w:type="spellEnd"/>
      <w:r w:rsidRPr="00EF7808">
        <w:rPr>
          <w:rFonts w:ascii="Arial" w:hAnsi="Arial" w:cs="Arial"/>
          <w:sz w:val="20"/>
          <w:szCs w:val="20"/>
        </w:rPr>
        <w:t xml:space="preserve"> tehnikah:</w:t>
      </w:r>
    </w:p>
    <w:p w:rsidR="008C77EF" w:rsidRPr="00EF7808" w:rsidRDefault="008C77EF" w:rsidP="00EF7808">
      <w:pPr>
        <w:pStyle w:val="Odstavekseznama"/>
        <w:numPr>
          <w:ilvl w:val="0"/>
          <w:numId w:val="1"/>
        </w:numPr>
        <w:jc w:val="both"/>
        <w:rPr>
          <w:rFonts w:ascii="Arial" w:hAnsi="Arial" w:cs="Arial"/>
          <w:sz w:val="20"/>
          <w:szCs w:val="20"/>
        </w:rPr>
      </w:pPr>
      <w:hyperlink r:id="rId7" w:history="1">
        <w:r w:rsidRPr="00EF7808">
          <w:rPr>
            <w:rStyle w:val="Hiperpovezava"/>
            <w:rFonts w:ascii="Arial" w:hAnsi="Arial" w:cs="Arial"/>
            <w:sz w:val="20"/>
            <w:szCs w:val="20"/>
          </w:rPr>
          <w:t>https://food.ec.europa.eu/plants/genetically-modified-organisms/new-techniques-biotechnology_sl</w:t>
        </w:r>
      </w:hyperlink>
    </w:p>
    <w:p w:rsidR="008C77EF"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Predlog o rastlinskem in gozdnem razmnoževalnem materialu:</w:t>
      </w:r>
    </w:p>
    <w:p w:rsidR="008C77EF" w:rsidRPr="00EF7808" w:rsidRDefault="008C77EF" w:rsidP="00EF7808">
      <w:pPr>
        <w:pStyle w:val="Odstavekseznama"/>
        <w:numPr>
          <w:ilvl w:val="0"/>
          <w:numId w:val="1"/>
        </w:numPr>
        <w:jc w:val="both"/>
        <w:rPr>
          <w:rFonts w:ascii="Arial" w:hAnsi="Arial" w:cs="Arial"/>
          <w:sz w:val="20"/>
          <w:szCs w:val="20"/>
        </w:rPr>
      </w:pPr>
      <w:hyperlink r:id="rId8" w:history="1">
        <w:r w:rsidRPr="00EF7808">
          <w:rPr>
            <w:rStyle w:val="Hiperpovezava"/>
            <w:rFonts w:ascii="Arial" w:hAnsi="Arial" w:cs="Arial"/>
            <w:sz w:val="20"/>
            <w:szCs w:val="20"/>
          </w:rPr>
          <w:t>https://food.ec.europa.eu/plants/plant-reproductive-material/legislation/future-eu-rules-plant-and-forest-reproductive-material_sl</w:t>
        </w:r>
      </w:hyperlink>
    </w:p>
    <w:p w:rsidR="008C77EF"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Predlog o odpadni hrani:</w:t>
      </w:r>
    </w:p>
    <w:p w:rsidR="008C77EF" w:rsidRPr="00EF7808" w:rsidRDefault="008C77EF" w:rsidP="00EF7808">
      <w:pPr>
        <w:pStyle w:val="Odstavekseznama"/>
        <w:numPr>
          <w:ilvl w:val="0"/>
          <w:numId w:val="1"/>
        </w:numPr>
        <w:jc w:val="both"/>
        <w:rPr>
          <w:rFonts w:ascii="Arial" w:hAnsi="Arial" w:cs="Arial"/>
          <w:sz w:val="20"/>
          <w:szCs w:val="20"/>
        </w:rPr>
      </w:pPr>
      <w:hyperlink r:id="rId9" w:history="1">
        <w:r w:rsidRPr="00EF7808">
          <w:rPr>
            <w:rStyle w:val="Hiperpovezava"/>
            <w:rFonts w:ascii="Arial" w:hAnsi="Arial" w:cs="Arial"/>
            <w:sz w:val="20"/>
            <w:szCs w:val="20"/>
          </w:rPr>
          <w:t>https://food.ec.europa.eu/safety/food-waste/eu-actions-against-food-waste/food-waste-reduction-targets_sl</w:t>
        </w:r>
      </w:hyperlink>
    </w:p>
    <w:p w:rsidR="008C77EF"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Predlog o tleh:</w:t>
      </w:r>
    </w:p>
    <w:p w:rsidR="008C77EF" w:rsidRPr="00EF7808" w:rsidRDefault="008C77EF" w:rsidP="00EF7808">
      <w:pPr>
        <w:pStyle w:val="Odstavekseznama"/>
        <w:numPr>
          <w:ilvl w:val="0"/>
          <w:numId w:val="1"/>
        </w:numPr>
        <w:jc w:val="both"/>
        <w:rPr>
          <w:rFonts w:ascii="Arial" w:hAnsi="Arial" w:cs="Arial"/>
          <w:sz w:val="20"/>
          <w:szCs w:val="20"/>
        </w:rPr>
      </w:pPr>
      <w:hyperlink r:id="rId10" w:history="1">
        <w:r w:rsidRPr="00EF7808">
          <w:rPr>
            <w:rStyle w:val="Hiperpovezava"/>
            <w:rFonts w:ascii="Arial" w:hAnsi="Arial" w:cs="Arial"/>
            <w:sz w:val="20"/>
            <w:szCs w:val="20"/>
          </w:rPr>
          <w:t>https://environment.ec.europa.eu/topics/soil-and-land/soil-health_sl</w:t>
        </w:r>
      </w:hyperlink>
    </w:p>
    <w:p w:rsidR="008C77EF" w:rsidRPr="00EF7808" w:rsidRDefault="008C77EF" w:rsidP="00EF7808">
      <w:pPr>
        <w:pStyle w:val="Odstavekseznama"/>
        <w:numPr>
          <w:ilvl w:val="0"/>
          <w:numId w:val="1"/>
        </w:numPr>
        <w:jc w:val="both"/>
        <w:rPr>
          <w:rFonts w:ascii="Arial" w:hAnsi="Arial" w:cs="Arial"/>
          <w:sz w:val="20"/>
          <w:szCs w:val="20"/>
        </w:rPr>
      </w:pPr>
      <w:r w:rsidRPr="00EF7808">
        <w:rPr>
          <w:rFonts w:ascii="Arial" w:hAnsi="Arial" w:cs="Arial"/>
          <w:sz w:val="20"/>
          <w:szCs w:val="20"/>
        </w:rPr>
        <w:t>Predlog o tekstilnih odpadkih:</w:t>
      </w:r>
    </w:p>
    <w:p w:rsidR="008C77EF" w:rsidRPr="00EF7808" w:rsidRDefault="008C77EF" w:rsidP="00EF7808">
      <w:pPr>
        <w:pStyle w:val="Odstavekseznama"/>
        <w:numPr>
          <w:ilvl w:val="0"/>
          <w:numId w:val="1"/>
        </w:numPr>
        <w:jc w:val="both"/>
        <w:rPr>
          <w:rFonts w:ascii="Arial" w:hAnsi="Arial" w:cs="Arial"/>
          <w:sz w:val="20"/>
          <w:szCs w:val="20"/>
        </w:rPr>
      </w:pPr>
      <w:hyperlink r:id="rId11" w:history="1">
        <w:r w:rsidRPr="00EF7808">
          <w:rPr>
            <w:rStyle w:val="Hiperpovezava"/>
            <w:rFonts w:ascii="Arial" w:hAnsi="Arial" w:cs="Arial"/>
            <w:sz w:val="20"/>
            <w:szCs w:val="20"/>
          </w:rPr>
          <w:t>https://environment.ec.europa.eu/topics/waste-and-recycling/waste-framework-directive_sl</w:t>
        </w:r>
      </w:hyperlink>
    </w:p>
    <w:p w:rsidR="008C77EF" w:rsidRPr="00EF7808" w:rsidRDefault="008C77EF" w:rsidP="00EF7808">
      <w:pPr>
        <w:spacing w:after="0"/>
        <w:jc w:val="both"/>
        <w:rPr>
          <w:rFonts w:ascii="Arial" w:hAnsi="Arial" w:cs="Arial"/>
          <w:sz w:val="20"/>
          <w:szCs w:val="20"/>
        </w:rPr>
      </w:pPr>
      <w:r w:rsidRPr="00EF7808">
        <w:rPr>
          <w:rFonts w:ascii="Arial" w:hAnsi="Arial" w:cs="Arial"/>
          <w:sz w:val="20"/>
          <w:szCs w:val="20"/>
        </w:rPr>
        <w:t>Pripravila:</w:t>
      </w:r>
    </w:p>
    <w:p w:rsidR="008C77EF" w:rsidRPr="00EF7808" w:rsidRDefault="008C77EF" w:rsidP="00EF7808">
      <w:pPr>
        <w:spacing w:after="0"/>
        <w:jc w:val="both"/>
        <w:rPr>
          <w:rFonts w:ascii="Arial" w:hAnsi="Arial" w:cs="Arial"/>
          <w:sz w:val="20"/>
          <w:szCs w:val="20"/>
        </w:rPr>
      </w:pPr>
      <w:r w:rsidRPr="00EF7808">
        <w:rPr>
          <w:rFonts w:ascii="Arial" w:hAnsi="Arial" w:cs="Arial"/>
          <w:sz w:val="20"/>
          <w:szCs w:val="20"/>
        </w:rPr>
        <w:t>Darja Kocbek</w:t>
      </w:r>
    </w:p>
    <w:p w:rsidR="008C77EF" w:rsidRDefault="008C77EF" w:rsidP="00EF7808">
      <w:pPr>
        <w:spacing w:after="0"/>
      </w:pPr>
    </w:p>
    <w:sectPr w:rsidR="008C77EF" w:rsidSect="00FF6B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A7DD7"/>
    <w:multiLevelType w:val="hybridMultilevel"/>
    <w:tmpl w:val="043E2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2B8"/>
    <w:rsid w:val="002C42B8"/>
    <w:rsid w:val="002D471C"/>
    <w:rsid w:val="008C77EF"/>
    <w:rsid w:val="00925FAD"/>
    <w:rsid w:val="009D74D8"/>
    <w:rsid w:val="00EB677E"/>
    <w:rsid w:val="00EF7808"/>
    <w:rsid w:val="00FF6B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6B77"/>
  </w:style>
  <w:style w:type="paragraph" w:styleId="Naslov2">
    <w:name w:val="heading 2"/>
    <w:basedOn w:val="Navaden"/>
    <w:link w:val="Naslov2Znak"/>
    <w:uiPriority w:val="9"/>
    <w:qFormat/>
    <w:rsid w:val="002D471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C42B8"/>
    <w:rPr>
      <w:b/>
      <w:bCs/>
    </w:rPr>
  </w:style>
  <w:style w:type="character" w:styleId="Hiperpovezava">
    <w:name w:val="Hyperlink"/>
    <w:basedOn w:val="Privzetapisavaodstavka"/>
    <w:uiPriority w:val="99"/>
    <w:unhideWhenUsed/>
    <w:rsid w:val="008C77EF"/>
    <w:rPr>
      <w:color w:val="0000FF"/>
      <w:u w:val="single"/>
    </w:rPr>
  </w:style>
  <w:style w:type="paragraph" w:styleId="Odstavekseznama">
    <w:name w:val="List Paragraph"/>
    <w:basedOn w:val="Navaden"/>
    <w:uiPriority w:val="34"/>
    <w:qFormat/>
    <w:rsid w:val="00EF7808"/>
    <w:pPr>
      <w:ind w:left="720"/>
      <w:contextualSpacing/>
    </w:pPr>
  </w:style>
  <w:style w:type="character" w:customStyle="1" w:styleId="Naslov2Znak">
    <w:name w:val="Naslov 2 Znak"/>
    <w:basedOn w:val="Privzetapisavaodstavka"/>
    <w:link w:val="Naslov2"/>
    <w:uiPriority w:val="9"/>
    <w:rsid w:val="002D471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D47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4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od.ec.europa.eu/plants/plant-reproductive-material/legislation/future-eu-rules-plant-and-forest-reproductive-material_s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od.ec.europa.eu/plants/genetically-modified-organisms/new-techniques-biotechnology_s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document/a2a71c6d-1dee-41bb-b2ee-51c1cb35d3f4_sl" TargetMode="External"/><Relationship Id="rId11" Type="http://schemas.openxmlformats.org/officeDocument/2006/relationships/hyperlink" Target="https://environment.ec.europa.eu/topics/waste-and-recycling/waste-framework-directive_sl" TargetMode="External"/><Relationship Id="rId5" Type="http://schemas.openxmlformats.org/officeDocument/2006/relationships/image" Target="media/image1.png"/><Relationship Id="rId10" Type="http://schemas.openxmlformats.org/officeDocument/2006/relationships/hyperlink" Target="https://environment.ec.europa.eu/topics/soil-and-land/soil-health_sl" TargetMode="External"/><Relationship Id="rId4" Type="http://schemas.openxmlformats.org/officeDocument/2006/relationships/webSettings" Target="webSettings.xml"/><Relationship Id="rId9" Type="http://schemas.openxmlformats.org/officeDocument/2006/relationships/hyperlink" Target="https://food.ec.europa.eu/safety/food-waste/eu-actions-against-food-waste/food-waste-reduction-targets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607</Words>
  <Characters>3464</Characters>
  <Application>Microsoft Office Word</Application>
  <DocSecurity>0</DocSecurity>
  <Lines>28</Lines>
  <Paragraphs>8</Paragraphs>
  <ScaleCrop>false</ScaleCrop>
  <Company>HP</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2023-07-05T16:57:00Z</dcterms:created>
  <dcterms:modified xsi:type="dcterms:W3CDTF">2023-07-05T17:26:00Z</dcterms:modified>
</cp:coreProperties>
</file>