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9E3" w:rsidRPr="00467345" w:rsidRDefault="00B249E3" w:rsidP="00B249E3">
      <w:pPr>
        <w:tabs>
          <w:tab w:val="left" w:pos="2520"/>
          <w:tab w:val="left" w:pos="2700"/>
          <w:tab w:val="left" w:pos="3120"/>
        </w:tabs>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249E3" w:rsidRPr="00083714" w:rsidRDefault="00B249E3" w:rsidP="00B249E3">
      <w:pPr>
        <w:pStyle w:val="Naslov2"/>
        <w:tabs>
          <w:tab w:val="left" w:pos="3120"/>
        </w:tabs>
        <w:spacing w:before="0" w:beforeAutospacing="0" w:after="0" w:afterAutospacing="0"/>
        <w:jc w:val="center"/>
        <w:rPr>
          <w:b w:val="0"/>
          <w:bCs w:val="0"/>
          <w:i/>
          <w:iCs/>
          <w:sz w:val="22"/>
        </w:rPr>
      </w:pPr>
      <w:r w:rsidRPr="00083714">
        <w:rPr>
          <w:sz w:val="22"/>
        </w:rPr>
        <w:t>Slovensko gospodarsko in raziskovalno združenje, Bruselj</w:t>
      </w:r>
    </w:p>
    <w:p w:rsidR="00B249E3" w:rsidRPr="00083714" w:rsidRDefault="00B249E3" w:rsidP="00B249E3">
      <w:pPr>
        <w:pBdr>
          <w:bottom w:val="single" w:sz="6" w:space="1" w:color="auto"/>
        </w:pBdr>
        <w:tabs>
          <w:tab w:val="left" w:pos="3120"/>
        </w:tabs>
        <w:jc w:val="center"/>
        <w:rPr>
          <w:sz w:val="16"/>
          <w:szCs w:val="16"/>
        </w:rPr>
      </w:pPr>
    </w:p>
    <w:p w:rsidR="00B249E3" w:rsidRDefault="00B249E3" w:rsidP="00B249E3">
      <w:pPr>
        <w:tabs>
          <w:tab w:val="left" w:pos="3120"/>
        </w:tabs>
        <w:spacing w:after="0"/>
        <w:rPr>
          <w:b/>
        </w:rPr>
      </w:pPr>
      <w:r w:rsidRPr="00083714">
        <w:rPr>
          <w:b/>
        </w:rPr>
        <w:tab/>
      </w:r>
    </w:p>
    <w:p w:rsidR="00B249E3" w:rsidRDefault="00B249E3" w:rsidP="00B249E3">
      <w:pPr>
        <w:tabs>
          <w:tab w:val="left" w:pos="3120"/>
        </w:tabs>
        <w:spacing w:after="0"/>
        <w:jc w:val="center"/>
        <w:rPr>
          <w:b/>
        </w:rPr>
      </w:pPr>
      <w:r>
        <w:rPr>
          <w:b/>
        </w:rPr>
        <w:t xml:space="preserve">Občasna informacija članom 114 </w:t>
      </w:r>
      <w:r w:rsidRPr="00083714">
        <w:rPr>
          <w:b/>
        </w:rPr>
        <w:t>– 20</w:t>
      </w:r>
      <w:r>
        <w:rPr>
          <w:b/>
        </w:rPr>
        <w:t>21</w:t>
      </w:r>
    </w:p>
    <w:p w:rsidR="00B249E3" w:rsidRDefault="00B249E3" w:rsidP="00B249E3">
      <w:pPr>
        <w:tabs>
          <w:tab w:val="left" w:pos="3120"/>
        </w:tabs>
        <w:spacing w:after="0"/>
        <w:jc w:val="center"/>
        <w:rPr>
          <w:b/>
        </w:rPr>
      </w:pPr>
    </w:p>
    <w:p w:rsidR="00B249E3" w:rsidRDefault="00B249E3" w:rsidP="00B249E3">
      <w:pPr>
        <w:tabs>
          <w:tab w:val="left" w:pos="3120"/>
        </w:tabs>
        <w:spacing w:after="0"/>
        <w:jc w:val="center"/>
        <w:rPr>
          <w:b/>
        </w:rPr>
      </w:pPr>
      <w:r>
        <w:rPr>
          <w:b/>
        </w:rPr>
        <w:t xml:space="preserve">12. julij </w:t>
      </w:r>
      <w:r w:rsidRPr="00083714">
        <w:rPr>
          <w:b/>
        </w:rPr>
        <w:t xml:space="preserve"> 20</w:t>
      </w:r>
      <w:r>
        <w:rPr>
          <w:b/>
        </w:rPr>
        <w:t>21</w:t>
      </w:r>
    </w:p>
    <w:p w:rsidR="00B249E3" w:rsidRPr="00050C1F" w:rsidRDefault="00B249E3" w:rsidP="00B249E3">
      <w:pPr>
        <w:tabs>
          <w:tab w:val="left" w:pos="3120"/>
        </w:tabs>
        <w:spacing w:after="0"/>
        <w:jc w:val="center"/>
        <w:rPr>
          <w:b/>
        </w:rPr>
      </w:pPr>
    </w:p>
    <w:p w:rsidR="008628D0" w:rsidRDefault="00B249E3" w:rsidP="00B249E3">
      <w:pPr>
        <w:jc w:val="center"/>
        <w:rPr>
          <w:rFonts w:ascii="Arial" w:hAnsi="Arial" w:cs="Arial"/>
          <w:b/>
          <w:i/>
        </w:rPr>
      </w:pPr>
      <w:r>
        <w:rPr>
          <w:b/>
          <w:color w:val="993300"/>
          <w:sz w:val="32"/>
          <w:szCs w:val="32"/>
        </w:rPr>
        <w:t>Sprejet je program za Instrument za povezovanje Evrope (CEF) za obdobje 2021-2027</w:t>
      </w:r>
    </w:p>
    <w:p w:rsidR="009F3C0F" w:rsidRPr="009970EE" w:rsidRDefault="00F15D9C" w:rsidP="009970EE">
      <w:pPr>
        <w:jc w:val="both"/>
        <w:rPr>
          <w:rFonts w:ascii="Arial" w:hAnsi="Arial" w:cs="Arial"/>
          <w:b/>
          <w:i/>
        </w:rPr>
      </w:pPr>
      <w:r w:rsidRPr="009970EE">
        <w:rPr>
          <w:rFonts w:ascii="Arial" w:hAnsi="Arial" w:cs="Arial"/>
          <w:b/>
          <w:i/>
        </w:rPr>
        <w:t>Evropski parlament je sprejel posodobljeni program za Instrument za povezovanje Evrope</w:t>
      </w:r>
      <w:r w:rsidR="00A40BB7" w:rsidRPr="009970EE">
        <w:rPr>
          <w:rFonts w:ascii="Arial" w:hAnsi="Arial" w:cs="Arial"/>
          <w:b/>
          <w:i/>
        </w:rPr>
        <w:t xml:space="preserve"> (CEF)</w:t>
      </w:r>
      <w:r w:rsidRPr="009970EE">
        <w:rPr>
          <w:rFonts w:ascii="Arial" w:hAnsi="Arial" w:cs="Arial"/>
          <w:b/>
          <w:i/>
        </w:rPr>
        <w:t xml:space="preserve"> </w:t>
      </w:r>
      <w:r w:rsidR="00A40BB7" w:rsidRPr="009970EE">
        <w:rPr>
          <w:rFonts w:ascii="Arial" w:hAnsi="Arial" w:cs="Arial"/>
          <w:b/>
          <w:i/>
        </w:rPr>
        <w:t xml:space="preserve">v katerem </w:t>
      </w:r>
      <w:r w:rsidR="00EE45C9" w:rsidRPr="009970EE">
        <w:rPr>
          <w:rFonts w:ascii="Arial" w:hAnsi="Arial" w:cs="Arial"/>
          <w:b/>
          <w:i/>
        </w:rPr>
        <w:t>je predvidenih 30 milijard evrov</w:t>
      </w:r>
      <w:r w:rsidRPr="009970EE">
        <w:rPr>
          <w:rFonts w:ascii="Arial" w:hAnsi="Arial" w:cs="Arial"/>
          <w:b/>
          <w:i/>
        </w:rPr>
        <w:t xml:space="preserve"> za prometne, digitalne in energetske projekte za obdobje 2021–2027.</w:t>
      </w:r>
      <w:r w:rsidR="00A40BB7" w:rsidRPr="009970EE">
        <w:rPr>
          <w:rFonts w:ascii="Arial" w:hAnsi="Arial" w:cs="Arial"/>
          <w:b/>
          <w:i/>
        </w:rPr>
        <w:t xml:space="preserve"> Instrument CEF sestavljajo trije stebri. Prometnim projektom je namenjenih 23 milijard evrov, 5 milijard evrov energetskim projektom in 2 milijardi evrov digitalnim projektom. Približno 10 milijard evrov, dodeljenih za čezmejne prometne projekte, bodo prispevali kohezijski skladi. Člani lahko več informacij dobijo na SBRA.</w:t>
      </w:r>
    </w:p>
    <w:p w:rsidR="00A40BB7" w:rsidRPr="009970EE" w:rsidRDefault="00EE45C9" w:rsidP="009970EE">
      <w:pPr>
        <w:jc w:val="both"/>
        <w:rPr>
          <w:rFonts w:ascii="Arial" w:hAnsi="Arial" w:cs="Arial"/>
          <w:sz w:val="20"/>
          <w:szCs w:val="20"/>
        </w:rPr>
      </w:pPr>
      <w:r w:rsidRPr="009970EE">
        <w:rPr>
          <w:rFonts w:ascii="Arial" w:hAnsi="Arial" w:cs="Arial"/>
          <w:sz w:val="20"/>
          <w:szCs w:val="20"/>
        </w:rPr>
        <w:t>Projektom, ki bodo prispevali k izpolnitvi podnebnih ciljev EU, je namenjenih 60 odstotkov sredstev, 15 odstotkov sredstev iz energetskega stebra pa čezmejnim projektom na področju energije iz obnovljivih virov. V digitalnem stebru so sredstva predvidena za projekte skupnega interesa, kot so visokozmogljiva digitalna omrežja in sistemi 5G ter digitalizacija prometnih in energetskih omrežij.</w:t>
      </w:r>
    </w:p>
    <w:p w:rsidR="00EE45C9" w:rsidRPr="009970EE" w:rsidRDefault="00EE45C9" w:rsidP="009970EE">
      <w:pPr>
        <w:jc w:val="both"/>
        <w:rPr>
          <w:rFonts w:ascii="Arial" w:hAnsi="Arial" w:cs="Arial"/>
          <w:sz w:val="20"/>
          <w:szCs w:val="20"/>
        </w:rPr>
      </w:pPr>
      <w:r w:rsidRPr="009970EE">
        <w:rPr>
          <w:rFonts w:ascii="Arial" w:hAnsi="Arial" w:cs="Arial"/>
          <w:sz w:val="20"/>
          <w:szCs w:val="20"/>
        </w:rPr>
        <w:t>Hkrati so bila sprejeta tudi nova pravila o vseevropskem prometnem omrežju (TEN-T), ki poenostavljajo postopke izdaje dovoljenj za projekte TEN-T. Države članice bodo morale določiti kontaktno točko za nosilca vsakega projekta in zagotoviti, da postopek za pridobitev dovoljenja za začetek projekta ne bo trajal več kot štiri leta. Za priprave za izvajanje teh novih pravil bodo imele dve leti časa.</w:t>
      </w:r>
    </w:p>
    <w:p w:rsidR="00EE45C9" w:rsidRPr="009970EE" w:rsidRDefault="00AF28BB" w:rsidP="009970EE">
      <w:pPr>
        <w:jc w:val="both"/>
        <w:rPr>
          <w:rFonts w:ascii="Arial" w:hAnsi="Arial" w:cs="Arial"/>
          <w:b/>
          <w:sz w:val="20"/>
          <w:szCs w:val="20"/>
        </w:rPr>
      </w:pPr>
      <w:r w:rsidRPr="009970EE">
        <w:rPr>
          <w:rFonts w:ascii="Arial" w:hAnsi="Arial" w:cs="Arial"/>
          <w:b/>
          <w:sz w:val="20"/>
          <w:szCs w:val="20"/>
        </w:rPr>
        <w:t>Koristne informacije:</w:t>
      </w:r>
    </w:p>
    <w:p w:rsidR="00AF28BB" w:rsidRPr="009970EE" w:rsidRDefault="00AF28BB" w:rsidP="009970EE">
      <w:pPr>
        <w:pStyle w:val="Odstavekseznama"/>
        <w:numPr>
          <w:ilvl w:val="0"/>
          <w:numId w:val="1"/>
        </w:numPr>
        <w:jc w:val="both"/>
        <w:rPr>
          <w:rFonts w:ascii="Arial" w:hAnsi="Arial" w:cs="Arial"/>
          <w:sz w:val="20"/>
          <w:szCs w:val="20"/>
        </w:rPr>
      </w:pPr>
      <w:r w:rsidRPr="009970EE">
        <w:rPr>
          <w:rFonts w:ascii="Arial" w:hAnsi="Arial" w:cs="Arial"/>
          <w:sz w:val="20"/>
          <w:szCs w:val="20"/>
        </w:rPr>
        <w:t>Resolucija Evropskega parlamenta:</w:t>
      </w:r>
    </w:p>
    <w:p w:rsidR="00AF28BB" w:rsidRPr="009970EE" w:rsidRDefault="00AF28BB" w:rsidP="009970EE">
      <w:pPr>
        <w:pStyle w:val="Odstavekseznama"/>
        <w:numPr>
          <w:ilvl w:val="0"/>
          <w:numId w:val="1"/>
        </w:numPr>
        <w:jc w:val="both"/>
        <w:rPr>
          <w:rFonts w:ascii="Arial" w:hAnsi="Arial" w:cs="Arial"/>
          <w:sz w:val="20"/>
          <w:szCs w:val="20"/>
        </w:rPr>
      </w:pPr>
      <w:hyperlink r:id="rId6" w:history="1">
        <w:r w:rsidRPr="009970EE">
          <w:rPr>
            <w:rStyle w:val="Hiperpovezava"/>
            <w:rFonts w:ascii="Arial" w:hAnsi="Arial" w:cs="Arial"/>
            <w:sz w:val="20"/>
            <w:szCs w:val="20"/>
          </w:rPr>
          <w:t>https://www.europarl.europa.eu/doceo/document/TA-9-2021-0339_SL.html</w:t>
        </w:r>
      </w:hyperlink>
    </w:p>
    <w:p w:rsidR="00AF28BB" w:rsidRPr="009970EE" w:rsidRDefault="00AF28BB" w:rsidP="009970EE">
      <w:pPr>
        <w:pStyle w:val="Odstavekseznama"/>
        <w:numPr>
          <w:ilvl w:val="0"/>
          <w:numId w:val="1"/>
        </w:numPr>
        <w:jc w:val="both"/>
        <w:rPr>
          <w:rFonts w:ascii="Arial" w:hAnsi="Arial" w:cs="Arial"/>
          <w:sz w:val="20"/>
          <w:szCs w:val="20"/>
        </w:rPr>
      </w:pPr>
      <w:r w:rsidRPr="009970EE">
        <w:rPr>
          <w:rFonts w:ascii="Arial" w:hAnsi="Arial" w:cs="Arial"/>
          <w:sz w:val="20"/>
          <w:szCs w:val="20"/>
        </w:rPr>
        <w:t>Spletna stran z informacijami o CEF:</w:t>
      </w:r>
    </w:p>
    <w:p w:rsidR="00AF28BB" w:rsidRDefault="00AF28BB" w:rsidP="009970EE">
      <w:pPr>
        <w:pStyle w:val="Odstavekseznama"/>
        <w:numPr>
          <w:ilvl w:val="0"/>
          <w:numId w:val="1"/>
        </w:numPr>
        <w:jc w:val="both"/>
        <w:rPr>
          <w:rFonts w:ascii="Arial" w:hAnsi="Arial" w:cs="Arial"/>
          <w:sz w:val="20"/>
          <w:szCs w:val="20"/>
        </w:rPr>
      </w:pPr>
      <w:hyperlink r:id="rId7" w:history="1">
        <w:r w:rsidRPr="009970EE">
          <w:rPr>
            <w:rStyle w:val="Hiperpovezava"/>
            <w:rFonts w:ascii="Arial" w:hAnsi="Arial" w:cs="Arial"/>
            <w:sz w:val="20"/>
            <w:szCs w:val="20"/>
          </w:rPr>
          <w:t>https://cinea.ec.europa.eu/connecting-europe-facility_sl</w:t>
        </w:r>
      </w:hyperlink>
    </w:p>
    <w:p w:rsidR="00C42FEA" w:rsidRDefault="00C42FEA" w:rsidP="009970EE">
      <w:pPr>
        <w:pStyle w:val="Odstavekseznama"/>
        <w:numPr>
          <w:ilvl w:val="0"/>
          <w:numId w:val="1"/>
        </w:numPr>
        <w:jc w:val="both"/>
        <w:rPr>
          <w:rFonts w:ascii="Arial" w:hAnsi="Arial" w:cs="Arial"/>
          <w:sz w:val="20"/>
          <w:szCs w:val="20"/>
        </w:rPr>
      </w:pPr>
      <w:r>
        <w:rPr>
          <w:rFonts w:ascii="Arial" w:hAnsi="Arial" w:cs="Arial"/>
          <w:sz w:val="20"/>
          <w:szCs w:val="20"/>
        </w:rPr>
        <w:t>Resolucija z novimi pravili za TEN-T:</w:t>
      </w:r>
    </w:p>
    <w:p w:rsidR="00C42FEA" w:rsidRPr="009970EE" w:rsidRDefault="00C42FEA" w:rsidP="009970EE">
      <w:pPr>
        <w:pStyle w:val="Odstavekseznama"/>
        <w:numPr>
          <w:ilvl w:val="0"/>
          <w:numId w:val="1"/>
        </w:numPr>
        <w:jc w:val="both"/>
        <w:rPr>
          <w:rFonts w:ascii="Arial" w:hAnsi="Arial" w:cs="Arial"/>
          <w:sz w:val="20"/>
          <w:szCs w:val="20"/>
        </w:rPr>
      </w:pPr>
      <w:hyperlink r:id="rId8" w:history="1">
        <w:r w:rsidRPr="00306A0B">
          <w:rPr>
            <w:rStyle w:val="Hiperpovezava"/>
            <w:rFonts w:ascii="Arial" w:hAnsi="Arial" w:cs="Arial"/>
            <w:sz w:val="20"/>
            <w:szCs w:val="20"/>
          </w:rPr>
          <w:t>https://www.europarl.europa.eu/doceo/document/TA-9-2021-0318_SL.html</w:t>
        </w:r>
      </w:hyperlink>
      <w:r>
        <w:rPr>
          <w:rFonts w:ascii="Arial" w:hAnsi="Arial" w:cs="Arial"/>
          <w:sz w:val="20"/>
          <w:szCs w:val="20"/>
        </w:rPr>
        <w:t xml:space="preserve"> </w:t>
      </w:r>
    </w:p>
    <w:p w:rsidR="00AF28BB" w:rsidRPr="009970EE" w:rsidRDefault="00AF28BB" w:rsidP="009970EE">
      <w:pPr>
        <w:pStyle w:val="Odstavekseznama"/>
        <w:numPr>
          <w:ilvl w:val="0"/>
          <w:numId w:val="1"/>
        </w:numPr>
        <w:jc w:val="both"/>
        <w:rPr>
          <w:rFonts w:ascii="Arial" w:hAnsi="Arial" w:cs="Arial"/>
          <w:sz w:val="20"/>
          <w:szCs w:val="20"/>
        </w:rPr>
      </w:pPr>
      <w:r w:rsidRPr="009970EE">
        <w:rPr>
          <w:rFonts w:ascii="Arial" w:hAnsi="Arial" w:cs="Arial"/>
          <w:sz w:val="20"/>
          <w:szCs w:val="20"/>
        </w:rPr>
        <w:t>Spletna stran z informacijami o TEN-T:</w:t>
      </w:r>
    </w:p>
    <w:p w:rsidR="00AF28BB" w:rsidRPr="009970EE" w:rsidRDefault="00AF28BB" w:rsidP="009970EE">
      <w:pPr>
        <w:pStyle w:val="Odstavekseznama"/>
        <w:numPr>
          <w:ilvl w:val="0"/>
          <w:numId w:val="1"/>
        </w:numPr>
        <w:jc w:val="both"/>
        <w:rPr>
          <w:rFonts w:ascii="Arial" w:hAnsi="Arial" w:cs="Arial"/>
          <w:sz w:val="20"/>
          <w:szCs w:val="20"/>
        </w:rPr>
      </w:pPr>
      <w:hyperlink r:id="rId9" w:history="1">
        <w:r w:rsidRPr="009970EE">
          <w:rPr>
            <w:rStyle w:val="Hiperpovezava"/>
            <w:rFonts w:ascii="Arial" w:hAnsi="Arial" w:cs="Arial"/>
            <w:sz w:val="20"/>
            <w:szCs w:val="20"/>
          </w:rPr>
          <w:t>https://ec.europa.eu/transport/themes/infrastructure/ten-t_en</w:t>
        </w:r>
      </w:hyperlink>
    </w:p>
    <w:p w:rsidR="00AF28BB" w:rsidRPr="009970EE" w:rsidRDefault="00AF28BB" w:rsidP="009970EE">
      <w:pPr>
        <w:spacing w:after="0"/>
        <w:jc w:val="both"/>
        <w:rPr>
          <w:rFonts w:ascii="Arial" w:hAnsi="Arial" w:cs="Arial"/>
          <w:sz w:val="20"/>
          <w:szCs w:val="20"/>
        </w:rPr>
      </w:pPr>
      <w:r w:rsidRPr="009970EE">
        <w:rPr>
          <w:rFonts w:ascii="Arial" w:hAnsi="Arial" w:cs="Arial"/>
          <w:sz w:val="20"/>
          <w:szCs w:val="20"/>
        </w:rPr>
        <w:t>Pripravila:</w:t>
      </w:r>
    </w:p>
    <w:p w:rsidR="00AF28BB" w:rsidRPr="009970EE" w:rsidRDefault="00AF28BB" w:rsidP="009970EE">
      <w:pPr>
        <w:spacing w:after="0"/>
        <w:jc w:val="both"/>
        <w:rPr>
          <w:rFonts w:ascii="Arial" w:hAnsi="Arial" w:cs="Arial"/>
          <w:sz w:val="20"/>
          <w:szCs w:val="20"/>
        </w:rPr>
      </w:pPr>
      <w:r w:rsidRPr="009970EE">
        <w:rPr>
          <w:rFonts w:ascii="Arial" w:hAnsi="Arial" w:cs="Arial"/>
          <w:sz w:val="20"/>
          <w:szCs w:val="20"/>
        </w:rPr>
        <w:t>Darja Kocbek</w:t>
      </w:r>
    </w:p>
    <w:p w:rsidR="00AF28BB" w:rsidRDefault="00AF28BB" w:rsidP="009970EE">
      <w:pPr>
        <w:spacing w:after="0"/>
      </w:pPr>
    </w:p>
    <w:sectPr w:rsidR="00AF28BB" w:rsidSect="009F3C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E63905"/>
    <w:multiLevelType w:val="hybridMultilevel"/>
    <w:tmpl w:val="79C851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15D9C"/>
    <w:rsid w:val="00714537"/>
    <w:rsid w:val="008628D0"/>
    <w:rsid w:val="009970EE"/>
    <w:rsid w:val="009F3C0F"/>
    <w:rsid w:val="00A40BB7"/>
    <w:rsid w:val="00AF28BB"/>
    <w:rsid w:val="00B249E3"/>
    <w:rsid w:val="00C42FEA"/>
    <w:rsid w:val="00EE45C9"/>
    <w:rsid w:val="00F15D9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F3C0F"/>
  </w:style>
  <w:style w:type="paragraph" w:styleId="Naslov2">
    <w:name w:val="heading 2"/>
    <w:basedOn w:val="Navaden"/>
    <w:link w:val="Naslov2Znak"/>
    <w:uiPriority w:val="9"/>
    <w:qFormat/>
    <w:rsid w:val="00B249E3"/>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AF28BB"/>
    <w:rPr>
      <w:color w:val="0000FF" w:themeColor="hyperlink"/>
      <w:u w:val="single"/>
    </w:rPr>
  </w:style>
  <w:style w:type="paragraph" w:styleId="Odstavekseznama">
    <w:name w:val="List Paragraph"/>
    <w:basedOn w:val="Navaden"/>
    <w:uiPriority w:val="34"/>
    <w:qFormat/>
    <w:rsid w:val="009970EE"/>
    <w:pPr>
      <w:ind w:left="720"/>
      <w:contextualSpacing/>
    </w:pPr>
  </w:style>
  <w:style w:type="character" w:customStyle="1" w:styleId="Naslov2Znak">
    <w:name w:val="Naslov 2 Znak"/>
    <w:basedOn w:val="Privzetapisavaodstavka"/>
    <w:link w:val="Naslov2"/>
    <w:uiPriority w:val="9"/>
    <w:rsid w:val="00B249E3"/>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B249E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249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uroparl.europa.eu/doceo/document/TA-9-2021-0318_SL.html" TargetMode="External"/><Relationship Id="rId3" Type="http://schemas.openxmlformats.org/officeDocument/2006/relationships/settings" Target="settings.xml"/><Relationship Id="rId7" Type="http://schemas.openxmlformats.org/officeDocument/2006/relationships/hyperlink" Target="https://cinea.ec.europa.eu/connecting-europe-facility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uroparl.europa.eu/doceo/document/TA-9-2021-0339_SL.html"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c.europa.eu/transport/themes/infrastructure/ten-t_en"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342</Words>
  <Characters>1956</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2021-07-07T16:48:00Z</dcterms:created>
  <dcterms:modified xsi:type="dcterms:W3CDTF">2021-07-07T17:12:00Z</dcterms:modified>
</cp:coreProperties>
</file>