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EC7" w:rsidRPr="00C82ABE" w:rsidRDefault="00541EC7" w:rsidP="00541EC7">
      <w:pPr>
        <w:tabs>
          <w:tab w:val="left" w:pos="2520"/>
          <w:tab w:val="left" w:pos="2700"/>
          <w:tab w:val="left" w:pos="3120"/>
        </w:tabs>
        <w:jc w:val="center"/>
      </w:pPr>
      <w:r w:rsidRPr="00C82ABE">
        <w:rPr>
          <w:noProof/>
          <w:lang w:val="en-US"/>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541EC7" w:rsidRPr="00C82ABE" w:rsidRDefault="00541EC7" w:rsidP="00541EC7">
      <w:pPr>
        <w:pStyle w:val="Heading2"/>
        <w:tabs>
          <w:tab w:val="left" w:pos="3120"/>
        </w:tabs>
        <w:jc w:val="center"/>
        <w:rPr>
          <w:b w:val="0"/>
          <w:bCs w:val="0"/>
          <w:i/>
          <w:iCs/>
          <w:sz w:val="22"/>
        </w:rPr>
      </w:pPr>
      <w:r w:rsidRPr="00C82ABE">
        <w:rPr>
          <w:b w:val="0"/>
          <w:bCs w:val="0"/>
          <w:sz w:val="22"/>
        </w:rPr>
        <w:t>Slovensko gospodarsko in raziskovalno združenje, Bruselj</w:t>
      </w:r>
    </w:p>
    <w:p w:rsidR="00541EC7" w:rsidRPr="00C82ABE" w:rsidRDefault="00541EC7" w:rsidP="00541EC7">
      <w:pPr>
        <w:pBdr>
          <w:bottom w:val="single" w:sz="6" w:space="1" w:color="auto"/>
        </w:pBdr>
        <w:tabs>
          <w:tab w:val="left" w:pos="3120"/>
        </w:tabs>
        <w:jc w:val="center"/>
        <w:rPr>
          <w:sz w:val="16"/>
          <w:szCs w:val="16"/>
        </w:rPr>
      </w:pPr>
    </w:p>
    <w:p w:rsidR="00541EC7" w:rsidRPr="00C82ABE" w:rsidRDefault="00541EC7" w:rsidP="00541EC7">
      <w:pPr>
        <w:tabs>
          <w:tab w:val="left" w:pos="3120"/>
        </w:tabs>
        <w:jc w:val="center"/>
        <w:rPr>
          <w:rFonts w:ascii="Arial" w:hAnsi="Arial" w:cs="Arial"/>
          <w:b/>
        </w:rPr>
      </w:pPr>
      <w:r w:rsidRPr="00C82ABE">
        <w:rPr>
          <w:rFonts w:ascii="Arial" w:hAnsi="Arial" w:cs="Arial"/>
          <w:b/>
        </w:rPr>
        <w:t xml:space="preserve">Občasna informacija članom </w:t>
      </w:r>
      <w:r w:rsidR="00A4410E">
        <w:rPr>
          <w:rFonts w:ascii="Arial" w:hAnsi="Arial" w:cs="Arial"/>
          <w:b/>
        </w:rPr>
        <w:t>113</w:t>
      </w:r>
      <w:bookmarkStart w:id="0" w:name="_GoBack"/>
      <w:bookmarkEnd w:id="0"/>
      <w:r w:rsidRPr="00C82ABE">
        <w:rPr>
          <w:rFonts w:ascii="Arial" w:hAnsi="Arial" w:cs="Arial"/>
          <w:b/>
        </w:rPr>
        <w:t xml:space="preserve"> – 2018</w:t>
      </w:r>
    </w:p>
    <w:p w:rsidR="00541EC7" w:rsidRPr="00C82ABE" w:rsidRDefault="00541EC7" w:rsidP="00541EC7">
      <w:pPr>
        <w:pStyle w:val="NoSpacing"/>
        <w:spacing w:after="100"/>
        <w:jc w:val="center"/>
        <w:rPr>
          <w:rFonts w:ascii="Arial" w:hAnsi="Arial" w:cs="Arial"/>
          <w:b/>
        </w:rPr>
      </w:pPr>
      <w:r>
        <w:rPr>
          <w:rFonts w:ascii="Arial" w:hAnsi="Arial" w:cs="Arial"/>
          <w:b/>
        </w:rPr>
        <w:t>02. jul</w:t>
      </w:r>
      <w:r w:rsidRPr="00C82ABE">
        <w:rPr>
          <w:rFonts w:ascii="Arial" w:hAnsi="Arial" w:cs="Arial"/>
          <w:b/>
        </w:rPr>
        <w:t>ij 2018</w:t>
      </w:r>
    </w:p>
    <w:p w:rsidR="00541EC7" w:rsidRDefault="00541EC7" w:rsidP="00541EC7">
      <w:pPr>
        <w:jc w:val="center"/>
        <w:rPr>
          <w:rFonts w:ascii="Arial" w:hAnsi="Arial" w:cs="Arial"/>
          <w:b/>
          <w:i/>
        </w:rPr>
      </w:pPr>
      <w:r>
        <w:rPr>
          <w:rFonts w:ascii="Arial" w:hAnsi="Arial" w:cs="Arial"/>
          <w:b/>
          <w:color w:val="993300"/>
          <w:sz w:val="32"/>
          <w:szCs w:val="32"/>
        </w:rPr>
        <w:t>Prvo letno poročilo o stanju modrega gospodarstva v EU, ki bo v pomoč pri opredelitvi naložbenih priložnosti</w:t>
      </w:r>
    </w:p>
    <w:p w:rsidR="00B459D4" w:rsidRPr="00541EC7" w:rsidRDefault="00C46BE5" w:rsidP="00541EC7">
      <w:pPr>
        <w:rPr>
          <w:rFonts w:ascii="Arial" w:hAnsi="Arial" w:cs="Arial"/>
          <w:b/>
          <w:i/>
        </w:rPr>
      </w:pPr>
      <w:r w:rsidRPr="00541EC7">
        <w:rPr>
          <w:rFonts w:ascii="Arial" w:hAnsi="Arial" w:cs="Arial"/>
          <w:b/>
          <w:i/>
        </w:rPr>
        <w:t>Evropska komisija je objavila prvo letno poročilo o stanju modrega gospodarstva v EU, ki bo v pomoč pri opredelitvi naložbenih priložnosti in oblikovanju usmeritev za prihodnje politike na tem področju. Modro gospodarstvo zajema vse gospodarske dejavnosti, povezane z oceani, morji ali obalnimi področji, kot so ribištvo, akvakultura in turizem, ter nove sektorje, kot sta energija iz oceanov ali modra biotehnologija. Na SBRA sproti spremljamo odločitve in politike evropske komisije za področje modrega gospodarstva, tako lahko o novostih in priložnostih, ki jih ponuja, pravočasno obveščamo člane in jim ponudimo dodatne informacije.</w:t>
      </w:r>
    </w:p>
    <w:p w:rsidR="00C46BE5" w:rsidRPr="00541EC7" w:rsidRDefault="004D79F7" w:rsidP="00541EC7">
      <w:pPr>
        <w:rPr>
          <w:rFonts w:ascii="Arial" w:hAnsi="Arial" w:cs="Arial"/>
          <w:sz w:val="20"/>
          <w:szCs w:val="20"/>
        </w:rPr>
      </w:pPr>
      <w:r w:rsidRPr="00541EC7">
        <w:rPr>
          <w:rFonts w:ascii="Arial" w:hAnsi="Arial" w:cs="Arial"/>
          <w:sz w:val="20"/>
          <w:szCs w:val="20"/>
        </w:rPr>
        <w:t>Avtorji poročila ugotavljajo, da modro gospodarstvo, to so vse gospodarske dejavnosti, ki so povezane z oceani, morji in obalami, stabilno raste. Modro gospodarstvo s prometom v višini 566 milijard evrov ustvari za 174 milijard evrov dodane vrednosti in zagotavlja zaposlitev nekaj manj kot 3,5 milijona ljudem.</w:t>
      </w:r>
    </w:p>
    <w:p w:rsidR="004D79F7" w:rsidRPr="00541EC7" w:rsidRDefault="004D79F7" w:rsidP="00541EC7">
      <w:pPr>
        <w:rPr>
          <w:rFonts w:ascii="Arial" w:hAnsi="Arial" w:cs="Arial"/>
          <w:sz w:val="20"/>
          <w:szCs w:val="20"/>
        </w:rPr>
      </w:pPr>
      <w:r w:rsidRPr="00541EC7">
        <w:rPr>
          <w:rFonts w:ascii="Arial" w:hAnsi="Arial" w:cs="Arial"/>
          <w:sz w:val="20"/>
          <w:szCs w:val="20"/>
        </w:rPr>
        <w:t xml:space="preserve">Za Slovenijo je v poročilu navedeno, da modro gospodarstvo zagotavlja 3900 ljudem zaposlitev, </w:t>
      </w:r>
      <w:r w:rsidR="00AF7EE0" w:rsidRPr="00541EC7">
        <w:rPr>
          <w:rFonts w:ascii="Arial" w:hAnsi="Arial" w:cs="Arial"/>
          <w:sz w:val="20"/>
          <w:szCs w:val="20"/>
        </w:rPr>
        <w:t xml:space="preserve">njegova dodana vrednost znaša 127 milijonov evrov. V slovenskem modrem gospodarstvu prevladuje obalni turizem, pomembne so tudi pristaniške dejavnosti, skladiščenje in vodni projekti. </w:t>
      </w:r>
    </w:p>
    <w:p w:rsidR="004D79F7" w:rsidRPr="00541EC7" w:rsidRDefault="004D79F7" w:rsidP="00541EC7">
      <w:pPr>
        <w:rPr>
          <w:rFonts w:ascii="Arial" w:hAnsi="Arial" w:cs="Arial"/>
          <w:sz w:val="20"/>
          <w:szCs w:val="20"/>
        </w:rPr>
      </w:pPr>
      <w:r w:rsidRPr="00541EC7">
        <w:rPr>
          <w:rFonts w:ascii="Arial" w:hAnsi="Arial" w:cs="Arial"/>
          <w:sz w:val="20"/>
          <w:szCs w:val="20"/>
        </w:rPr>
        <w:t>Evropska komisija na podlagi podatkov iz poročila ocenjuje, da je mogoče z naložbami in inovacijami, pa tudi odgovornim upravljanjem z oceani ter vključevanjem okoljskih, ekonomskih in socialnih ukrepov modro gospodarstvo v EU do leta 2030 na trajnostni način podvojiti.</w:t>
      </w:r>
    </w:p>
    <w:p w:rsidR="004D79F7" w:rsidRPr="00541EC7" w:rsidRDefault="004D79F7" w:rsidP="00541EC7">
      <w:pPr>
        <w:rPr>
          <w:rFonts w:ascii="Arial" w:hAnsi="Arial" w:cs="Arial"/>
          <w:sz w:val="20"/>
          <w:szCs w:val="20"/>
        </w:rPr>
      </w:pPr>
      <w:r w:rsidRPr="00541EC7">
        <w:rPr>
          <w:rFonts w:ascii="Arial" w:hAnsi="Arial" w:cs="Arial"/>
          <w:sz w:val="20"/>
          <w:szCs w:val="20"/>
        </w:rPr>
        <w:t>V nekaterih državah članicah je modro gospodarstvo v zadnjih desetih letih raslo hitreje kot njihovo nacionalno gospodarstvo, v času finančne krize se je pokazalo, da je modro gospodarstvo bolj odporno kot drugi sektorji, še piše v poročilu.</w:t>
      </w:r>
    </w:p>
    <w:p w:rsidR="00AF7EE0" w:rsidRPr="00541EC7" w:rsidRDefault="00AF7EE0" w:rsidP="00541EC7">
      <w:pPr>
        <w:rPr>
          <w:rFonts w:ascii="Arial" w:hAnsi="Arial" w:cs="Arial"/>
          <w:b/>
          <w:sz w:val="20"/>
          <w:szCs w:val="20"/>
        </w:rPr>
      </w:pPr>
      <w:r w:rsidRPr="00541EC7">
        <w:rPr>
          <w:rFonts w:ascii="Arial" w:hAnsi="Arial" w:cs="Arial"/>
          <w:b/>
          <w:sz w:val="20"/>
          <w:szCs w:val="20"/>
        </w:rPr>
        <w:t>Koristne informacije:</w:t>
      </w:r>
    </w:p>
    <w:p w:rsidR="00AF7EE0" w:rsidRPr="00541EC7" w:rsidRDefault="00AF7EE0" w:rsidP="00541EC7">
      <w:pPr>
        <w:pStyle w:val="ListParagraph"/>
        <w:numPr>
          <w:ilvl w:val="0"/>
          <w:numId w:val="1"/>
        </w:numPr>
        <w:rPr>
          <w:rFonts w:ascii="Arial" w:hAnsi="Arial" w:cs="Arial"/>
          <w:sz w:val="20"/>
          <w:szCs w:val="20"/>
        </w:rPr>
      </w:pPr>
      <w:r w:rsidRPr="00541EC7">
        <w:rPr>
          <w:rFonts w:ascii="Arial" w:hAnsi="Arial" w:cs="Arial"/>
          <w:sz w:val="20"/>
          <w:szCs w:val="20"/>
        </w:rPr>
        <w:t>Poročilo:</w:t>
      </w:r>
    </w:p>
    <w:p w:rsidR="00AF7EE0" w:rsidRPr="00541EC7" w:rsidRDefault="00A4410E" w:rsidP="00541EC7">
      <w:pPr>
        <w:pStyle w:val="ListParagraph"/>
        <w:numPr>
          <w:ilvl w:val="0"/>
          <w:numId w:val="1"/>
        </w:numPr>
        <w:rPr>
          <w:rFonts w:ascii="Arial" w:hAnsi="Arial" w:cs="Arial"/>
          <w:sz w:val="20"/>
          <w:szCs w:val="20"/>
        </w:rPr>
      </w:pPr>
      <w:hyperlink r:id="rId7" w:history="1">
        <w:r w:rsidR="00AF7EE0" w:rsidRPr="00541EC7">
          <w:rPr>
            <w:rStyle w:val="Hyperlink"/>
            <w:rFonts w:ascii="Arial" w:hAnsi="Arial" w:cs="Arial"/>
            <w:sz w:val="20"/>
            <w:szCs w:val="20"/>
          </w:rPr>
          <w:t>https://ec.europa.eu/maritimeaffairs/sites/maritimeaffairs/files/2018-annual-economic-report-on-blue-economy_en.pdf</w:t>
        </w:r>
      </w:hyperlink>
    </w:p>
    <w:p w:rsidR="00AF7EE0" w:rsidRPr="00541EC7" w:rsidRDefault="00AF7EE0" w:rsidP="00541EC7">
      <w:pPr>
        <w:pStyle w:val="ListParagraph"/>
        <w:numPr>
          <w:ilvl w:val="0"/>
          <w:numId w:val="1"/>
        </w:numPr>
        <w:rPr>
          <w:rFonts w:ascii="Arial" w:hAnsi="Arial" w:cs="Arial"/>
          <w:sz w:val="20"/>
          <w:szCs w:val="20"/>
        </w:rPr>
      </w:pPr>
      <w:r w:rsidRPr="00541EC7">
        <w:rPr>
          <w:rFonts w:ascii="Arial" w:hAnsi="Arial" w:cs="Arial"/>
          <w:sz w:val="20"/>
          <w:szCs w:val="20"/>
        </w:rPr>
        <w:t>Spletna stran Evropske komisije o modri rasti:</w:t>
      </w:r>
    </w:p>
    <w:p w:rsidR="00AF7EE0" w:rsidRPr="00541EC7" w:rsidRDefault="00A4410E" w:rsidP="00541EC7">
      <w:pPr>
        <w:pStyle w:val="ListParagraph"/>
        <w:numPr>
          <w:ilvl w:val="0"/>
          <w:numId w:val="1"/>
        </w:numPr>
        <w:rPr>
          <w:rFonts w:ascii="Arial" w:hAnsi="Arial" w:cs="Arial"/>
          <w:sz w:val="20"/>
          <w:szCs w:val="20"/>
        </w:rPr>
      </w:pPr>
      <w:hyperlink r:id="rId8" w:history="1">
        <w:r w:rsidR="00AF7EE0" w:rsidRPr="00541EC7">
          <w:rPr>
            <w:rStyle w:val="Hyperlink"/>
            <w:rFonts w:ascii="Arial" w:hAnsi="Arial" w:cs="Arial"/>
            <w:sz w:val="20"/>
            <w:szCs w:val="20"/>
          </w:rPr>
          <w:t>https://ec.europa.eu/maritimeaffairs/policy/blue_growth_en</w:t>
        </w:r>
      </w:hyperlink>
    </w:p>
    <w:p w:rsidR="00AF7EE0" w:rsidRPr="00541EC7" w:rsidRDefault="00AF7EE0" w:rsidP="00541EC7">
      <w:pPr>
        <w:rPr>
          <w:rFonts w:ascii="Arial" w:hAnsi="Arial" w:cs="Arial"/>
          <w:sz w:val="20"/>
          <w:szCs w:val="20"/>
        </w:rPr>
      </w:pPr>
      <w:r w:rsidRPr="00541EC7">
        <w:rPr>
          <w:rFonts w:ascii="Arial" w:hAnsi="Arial" w:cs="Arial"/>
          <w:sz w:val="20"/>
          <w:szCs w:val="20"/>
        </w:rPr>
        <w:t>Pripravila:</w:t>
      </w:r>
      <w:r w:rsidR="00541EC7">
        <w:rPr>
          <w:rFonts w:ascii="Arial" w:hAnsi="Arial" w:cs="Arial"/>
          <w:sz w:val="20"/>
          <w:szCs w:val="20"/>
        </w:rPr>
        <w:t xml:space="preserve"> </w:t>
      </w:r>
      <w:r w:rsidRPr="00541EC7">
        <w:rPr>
          <w:rFonts w:ascii="Arial" w:hAnsi="Arial" w:cs="Arial"/>
          <w:sz w:val="20"/>
          <w:szCs w:val="20"/>
        </w:rPr>
        <w:t>Darja Kocbek</w:t>
      </w:r>
    </w:p>
    <w:p w:rsidR="004D79F7" w:rsidRDefault="004D79F7"/>
    <w:p w:rsidR="00C46BE5" w:rsidRDefault="00C46BE5"/>
    <w:p w:rsidR="00C46BE5" w:rsidRDefault="00C46BE5"/>
    <w:sectPr w:rsidR="00C46BE5"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34688"/>
    <w:multiLevelType w:val="hybridMultilevel"/>
    <w:tmpl w:val="4A9838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C46BE5"/>
    <w:rsid w:val="00004C2C"/>
    <w:rsid w:val="004D79F7"/>
    <w:rsid w:val="00541EC7"/>
    <w:rsid w:val="00A4410E"/>
    <w:rsid w:val="00AF7EE0"/>
    <w:rsid w:val="00B459D4"/>
    <w:rsid w:val="00C46BE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link w:val="Heading2Char"/>
    <w:uiPriority w:val="9"/>
    <w:qFormat/>
    <w:rsid w:val="00541EC7"/>
    <w:pPr>
      <w:spacing w:before="100" w:beforeAutospacing="1"/>
      <w:jc w:val="left"/>
      <w:outlineLvl w:val="1"/>
    </w:pPr>
    <w:rPr>
      <w:rFonts w:ascii="Times New Roman" w:eastAsia="Times New Roman" w:hAnsi="Times New Roman" w:cs="Times New Roman"/>
      <w:b/>
      <w:bCs/>
      <w:sz w:val="36"/>
      <w:szCs w:val="36"/>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6BE5"/>
    <w:rPr>
      <w:color w:val="0000FF"/>
      <w:u w:val="single"/>
    </w:rPr>
  </w:style>
  <w:style w:type="paragraph" w:styleId="ListParagraph">
    <w:name w:val="List Paragraph"/>
    <w:basedOn w:val="Normal"/>
    <w:uiPriority w:val="34"/>
    <w:qFormat/>
    <w:rsid w:val="00541EC7"/>
    <w:pPr>
      <w:ind w:left="720"/>
      <w:contextualSpacing/>
    </w:pPr>
  </w:style>
  <w:style w:type="character" w:customStyle="1" w:styleId="Heading2Char">
    <w:name w:val="Heading 2 Char"/>
    <w:basedOn w:val="DefaultParagraphFont"/>
    <w:link w:val="Heading2"/>
    <w:uiPriority w:val="9"/>
    <w:rsid w:val="00541EC7"/>
    <w:rPr>
      <w:rFonts w:ascii="Times New Roman" w:eastAsia="Times New Roman" w:hAnsi="Times New Roman" w:cs="Times New Roman"/>
      <w:b/>
      <w:bCs/>
      <w:sz w:val="36"/>
      <w:szCs w:val="36"/>
      <w:lang w:eastAsia="sl-SI"/>
    </w:rPr>
  </w:style>
  <w:style w:type="paragraph" w:styleId="NoSpacing">
    <w:name w:val="No Spacing"/>
    <w:uiPriority w:val="1"/>
    <w:qFormat/>
    <w:rsid w:val="00541EC7"/>
    <w:pPr>
      <w:spacing w:after="0"/>
    </w:pPr>
  </w:style>
  <w:style w:type="paragraph" w:styleId="BalloonText">
    <w:name w:val="Balloon Text"/>
    <w:basedOn w:val="Normal"/>
    <w:link w:val="BalloonTextChar"/>
    <w:uiPriority w:val="99"/>
    <w:semiHidden/>
    <w:unhideWhenUsed/>
    <w:rsid w:val="00541EC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E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maritimeaffairs/policy/blue_growth_en" TargetMode="External"/><Relationship Id="rId3" Type="http://schemas.microsoft.com/office/2007/relationships/stylesWithEffects" Target="stylesWithEffects.xml"/><Relationship Id="rId7" Type="http://schemas.openxmlformats.org/officeDocument/2006/relationships/hyperlink" Target="https://ec.europa.eu/maritimeaffairs/sites/maritimeaffairs/files/2018-annual-economic-report-on-blue-economy_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365</Words>
  <Characters>2087</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3</cp:revision>
  <dcterms:created xsi:type="dcterms:W3CDTF">2018-06-27T13:13:00Z</dcterms:created>
  <dcterms:modified xsi:type="dcterms:W3CDTF">2018-06-28T13:38:00Z</dcterms:modified>
</cp:coreProperties>
</file>