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D1" w:rsidRDefault="005455D1" w:rsidP="005455D1">
      <w:pPr>
        <w:jc w:val="both"/>
        <w:rPr>
          <w:rFonts w:ascii="Arial" w:hAnsi="Arial" w:cs="Arial"/>
          <w:b/>
          <w:i/>
        </w:rPr>
      </w:pPr>
    </w:p>
    <w:p w:rsidR="005455D1" w:rsidRPr="00467345" w:rsidRDefault="005455D1" w:rsidP="005455D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5D1" w:rsidRPr="00301C78" w:rsidRDefault="005455D1" w:rsidP="005455D1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455D1" w:rsidRPr="00083714" w:rsidRDefault="005455D1" w:rsidP="005455D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5455D1" w:rsidRDefault="005455D1" w:rsidP="005455D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111 </w:t>
      </w:r>
      <w:r w:rsidRPr="00083714">
        <w:rPr>
          <w:b/>
        </w:rPr>
        <w:t>– 20</w:t>
      </w:r>
      <w:r>
        <w:rPr>
          <w:b/>
        </w:rPr>
        <w:t>23</w:t>
      </w:r>
    </w:p>
    <w:p w:rsidR="005455D1" w:rsidRDefault="005455D1" w:rsidP="005455D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03. julij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5455D1" w:rsidRDefault="005455D1" w:rsidP="005455D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Predloga za revizijo direktive o plačilnih storitvah in za vzpostavitev okvira za dostop do finančnih podatkov</w:t>
      </w:r>
    </w:p>
    <w:p w:rsidR="00734273" w:rsidRPr="005455D1" w:rsidRDefault="006208D0" w:rsidP="005455D1">
      <w:pPr>
        <w:jc w:val="both"/>
        <w:rPr>
          <w:rFonts w:ascii="Arial" w:hAnsi="Arial" w:cs="Arial"/>
          <w:b/>
          <w:i/>
        </w:rPr>
      </w:pPr>
      <w:r w:rsidRPr="005455D1">
        <w:rPr>
          <w:rFonts w:ascii="Arial" w:hAnsi="Arial" w:cs="Arial"/>
          <w:b/>
          <w:i/>
        </w:rPr>
        <w:t xml:space="preserve">Evropska komisija </w:t>
      </w:r>
      <w:r w:rsidR="007926F2">
        <w:rPr>
          <w:rFonts w:ascii="Arial" w:hAnsi="Arial" w:cs="Arial"/>
          <w:b/>
          <w:i/>
        </w:rPr>
        <w:t xml:space="preserve">je v okviru priprav na uvedbo digitalnega evra </w:t>
      </w:r>
      <w:r w:rsidRPr="005455D1">
        <w:rPr>
          <w:rFonts w:ascii="Arial" w:hAnsi="Arial" w:cs="Arial"/>
          <w:b/>
          <w:i/>
        </w:rPr>
        <w:t>pripravila predlog za revizijo direktive o plačilnih storitvah in zakonodajni predlog za vzpostavitev okvira za dostop do finančnih podatkov. Namen predloga za revizijo direktive o plačilnih storitvah je med drugim zagotoviti večjo izbiro ponudnikov plačilnih storitev na trgu. Namen okvira za dostop do finančnih podatkov je določiti jasne pravice in obveznosti za upravljanje izmenjave podatkov o strankah v finančnem sektorju.</w:t>
      </w:r>
    </w:p>
    <w:p w:rsidR="00AF4709" w:rsidRPr="005455D1" w:rsidRDefault="00AF4709" w:rsidP="005455D1">
      <w:pPr>
        <w:jc w:val="both"/>
        <w:rPr>
          <w:rFonts w:ascii="Arial" w:hAnsi="Arial" w:cs="Arial"/>
          <w:b/>
          <w:sz w:val="20"/>
          <w:szCs w:val="20"/>
        </w:rPr>
      </w:pPr>
      <w:r w:rsidRPr="005455D1">
        <w:rPr>
          <w:rFonts w:ascii="Arial" w:hAnsi="Arial" w:cs="Arial"/>
          <w:b/>
          <w:sz w:val="20"/>
          <w:szCs w:val="20"/>
        </w:rPr>
        <w:t>Revizija direktive o plačilnih storitvah</w:t>
      </w:r>
    </w:p>
    <w:p w:rsidR="00AF4709" w:rsidRPr="005455D1" w:rsidRDefault="00AF4709" w:rsidP="005455D1">
      <w:pPr>
        <w:jc w:val="both"/>
        <w:rPr>
          <w:rFonts w:ascii="Arial" w:hAnsi="Arial" w:cs="Arial"/>
          <w:b/>
          <w:sz w:val="20"/>
          <w:szCs w:val="20"/>
        </w:rPr>
      </w:pPr>
      <w:r w:rsidRPr="005455D1">
        <w:rPr>
          <w:rFonts w:ascii="Arial" w:hAnsi="Arial" w:cs="Arial"/>
          <w:b/>
          <w:sz w:val="20"/>
          <w:szCs w:val="20"/>
        </w:rPr>
        <w:t>Tabela 1: Ukrepi, ki jih vsebuje predlog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AF4709" w:rsidRPr="005455D1" w:rsidTr="00AF4709">
        <w:tc>
          <w:tcPr>
            <w:tcW w:w="4606" w:type="dxa"/>
          </w:tcPr>
          <w:p w:rsidR="00AF4709" w:rsidRPr="005455D1" w:rsidRDefault="00AF4709" w:rsidP="005455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5D1">
              <w:rPr>
                <w:rFonts w:ascii="Arial" w:hAnsi="Arial" w:cs="Arial"/>
                <w:b/>
                <w:sz w:val="20"/>
                <w:szCs w:val="20"/>
              </w:rPr>
              <w:t>Ukrep</w:t>
            </w:r>
          </w:p>
        </w:tc>
        <w:tc>
          <w:tcPr>
            <w:tcW w:w="4606" w:type="dxa"/>
          </w:tcPr>
          <w:p w:rsidR="00AF4709" w:rsidRPr="005455D1" w:rsidRDefault="00AF4709" w:rsidP="005455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5D1">
              <w:rPr>
                <w:rFonts w:ascii="Arial" w:hAnsi="Arial" w:cs="Arial"/>
                <w:b/>
                <w:sz w:val="20"/>
                <w:szCs w:val="20"/>
              </w:rPr>
              <w:t>Kratek opis</w:t>
            </w:r>
          </w:p>
        </w:tc>
      </w:tr>
      <w:tr w:rsidR="00AF4709" w:rsidRPr="005455D1" w:rsidTr="00AF4709">
        <w:tc>
          <w:tcPr>
            <w:tcW w:w="4606" w:type="dxa"/>
          </w:tcPr>
          <w:p w:rsidR="00AF4709" w:rsidRPr="005455D1" w:rsidRDefault="00AF4709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 xml:space="preserve">Boj proti goljufijam pri plačilih </w:t>
            </w:r>
          </w:p>
        </w:tc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Ponudnikom plačilnih storitev se omogoči medsebojna izmenjava informacij, povezanih z goljufijami, poveča se ozaveščenost potrošnikov, okrepijo pravila za preverjanje pristnosti strank, razširijo pravice potrošnikov, ki postanejo žrtve goljufije, do povračila in uvede se sistem za preverjanje skladnosti številk IBAN prejemnikov plačil z njihovimi imeni računov, ki bo obvezen pri vseh kreditnih prenosih.</w:t>
            </w:r>
          </w:p>
        </w:tc>
      </w:tr>
      <w:tr w:rsidR="00AF4709" w:rsidRPr="005455D1" w:rsidTr="00AF4709"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Izboljšanje pravic potrošnikov</w:t>
            </w:r>
          </w:p>
        </w:tc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Gre za pravice v času, ko so njihova sredstva začasno blokirana, za izboljšanje preglednosti izpiskov z računov in zagotavljanje preglednejših informacij o stroških na bankomatih.</w:t>
            </w:r>
          </w:p>
        </w:tc>
      </w:tr>
      <w:tr w:rsidR="00AF4709" w:rsidRPr="005455D1" w:rsidTr="00AF4709"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 xml:space="preserve">Večja izenačitev konkurenčnih pogojev med bankami in </w:t>
            </w:r>
            <w:proofErr w:type="spellStart"/>
            <w:r w:rsidRPr="005455D1">
              <w:rPr>
                <w:rFonts w:ascii="Arial" w:hAnsi="Arial" w:cs="Arial"/>
                <w:sz w:val="20"/>
                <w:szCs w:val="20"/>
              </w:rPr>
              <w:t>nebankami</w:t>
            </w:r>
            <w:proofErr w:type="spellEnd"/>
          </w:p>
        </w:tc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Nebančnim ponudnikom plačilnih storitev se omogoči dostop do vseh plačilnih sistemov EU z ustreznimi zaščitnimi ukrepi in zagotovijo se pravice teh ponudnikov do bančnega računa.</w:t>
            </w:r>
          </w:p>
        </w:tc>
      </w:tr>
      <w:tr w:rsidR="00AF4709" w:rsidRPr="005455D1" w:rsidTr="00AF4709"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Izboljšanje delovanja odprtega bančništva</w:t>
            </w:r>
          </w:p>
        </w:tc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Predvidena je odprava ovir za zagotavljanje storitev odprtega bančništva in izboljšanje nadzora strank nad njihovimi plačilnimi podatki, kar naj bi omogočilo vstop novih inovativnih storitev na trg.</w:t>
            </w:r>
          </w:p>
        </w:tc>
      </w:tr>
      <w:tr w:rsidR="00AF4709" w:rsidRPr="005455D1" w:rsidTr="00AF4709"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lastRenderedPageBreak/>
              <w:t>Izboljšati razpoložljivost gotovine v trgovinah in na bankomatih</w:t>
            </w:r>
          </w:p>
        </w:tc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Trgovcem na drobno se omogoči, da strankam nudijo gotovinske storitve, ne da bi za to potrebovali nakup</w:t>
            </w:r>
          </w:p>
        </w:tc>
      </w:tr>
      <w:tr w:rsidR="00AF4709" w:rsidRPr="005455D1" w:rsidTr="00AF4709"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 xml:space="preserve">Vključitev večine pravil o plačilih v uredbo </w:t>
            </w:r>
          </w:p>
        </w:tc>
        <w:tc>
          <w:tcPr>
            <w:tcW w:w="4606" w:type="dxa"/>
          </w:tcPr>
          <w:p w:rsidR="00AF4709" w:rsidRPr="005455D1" w:rsidRDefault="009E1A1A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F4709" w:rsidRPr="005455D1" w:rsidRDefault="009E1A1A" w:rsidP="005455D1">
      <w:pPr>
        <w:jc w:val="both"/>
        <w:rPr>
          <w:rFonts w:ascii="Arial" w:hAnsi="Arial" w:cs="Arial"/>
          <w:sz w:val="20"/>
          <w:szCs w:val="20"/>
        </w:rPr>
      </w:pPr>
      <w:r w:rsidRPr="005455D1">
        <w:rPr>
          <w:rFonts w:ascii="Arial" w:hAnsi="Arial" w:cs="Arial"/>
          <w:sz w:val="20"/>
          <w:szCs w:val="20"/>
        </w:rPr>
        <w:t>Vir: Evropska komisija</w:t>
      </w:r>
    </w:p>
    <w:p w:rsidR="005455D1" w:rsidRPr="005455D1" w:rsidRDefault="005455D1" w:rsidP="005455D1">
      <w:pPr>
        <w:jc w:val="both"/>
        <w:rPr>
          <w:rFonts w:ascii="Arial" w:hAnsi="Arial" w:cs="Arial"/>
          <w:b/>
          <w:sz w:val="20"/>
          <w:szCs w:val="20"/>
        </w:rPr>
      </w:pPr>
      <w:r w:rsidRPr="005455D1">
        <w:rPr>
          <w:rFonts w:ascii="Arial" w:hAnsi="Arial" w:cs="Arial"/>
          <w:b/>
          <w:sz w:val="20"/>
          <w:szCs w:val="20"/>
        </w:rPr>
        <w:t>Zakonodajni predlog za vzpostavitev okvira za dostop do finančnih podatkov</w:t>
      </w:r>
    </w:p>
    <w:p w:rsidR="009E1A1A" w:rsidRPr="005455D1" w:rsidRDefault="005248BD" w:rsidP="005455D1">
      <w:pPr>
        <w:jc w:val="both"/>
        <w:rPr>
          <w:rFonts w:ascii="Arial" w:hAnsi="Arial" w:cs="Arial"/>
          <w:b/>
          <w:sz w:val="20"/>
          <w:szCs w:val="20"/>
        </w:rPr>
      </w:pPr>
      <w:r w:rsidRPr="005455D1">
        <w:rPr>
          <w:rFonts w:ascii="Arial" w:hAnsi="Arial" w:cs="Arial"/>
          <w:b/>
          <w:sz w:val="20"/>
          <w:szCs w:val="20"/>
        </w:rPr>
        <w:t>Tabela 2: Predlogi za okvir za dostop do finančnih podatkov</w:t>
      </w:r>
    </w:p>
    <w:tbl>
      <w:tblPr>
        <w:tblStyle w:val="Tabela-mrea"/>
        <w:tblW w:w="0" w:type="auto"/>
        <w:tblLook w:val="04A0"/>
      </w:tblPr>
      <w:tblGrid>
        <w:gridCol w:w="4606"/>
        <w:gridCol w:w="4606"/>
      </w:tblGrid>
      <w:tr w:rsidR="005248BD" w:rsidRPr="005455D1" w:rsidTr="005248BD">
        <w:tc>
          <w:tcPr>
            <w:tcW w:w="4606" w:type="dxa"/>
          </w:tcPr>
          <w:p w:rsidR="005248BD" w:rsidRPr="005455D1" w:rsidRDefault="005248BD" w:rsidP="005455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5D1">
              <w:rPr>
                <w:rFonts w:ascii="Arial" w:hAnsi="Arial" w:cs="Arial"/>
                <w:b/>
                <w:sz w:val="20"/>
                <w:szCs w:val="20"/>
              </w:rPr>
              <w:t>Predlog</w:t>
            </w:r>
          </w:p>
        </w:tc>
        <w:tc>
          <w:tcPr>
            <w:tcW w:w="4606" w:type="dxa"/>
          </w:tcPr>
          <w:p w:rsidR="005248BD" w:rsidRPr="005455D1" w:rsidRDefault="005248BD" w:rsidP="005455D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55D1">
              <w:rPr>
                <w:rFonts w:ascii="Arial" w:hAnsi="Arial" w:cs="Arial"/>
                <w:b/>
                <w:sz w:val="20"/>
                <w:szCs w:val="20"/>
              </w:rPr>
              <w:t>Kratek opis</w:t>
            </w:r>
          </w:p>
        </w:tc>
      </w:tr>
      <w:tr w:rsidR="005248BD" w:rsidRPr="005455D1" w:rsidTr="005248BD">
        <w:tc>
          <w:tcPr>
            <w:tcW w:w="4606" w:type="dxa"/>
          </w:tcPr>
          <w:p w:rsidR="005248BD" w:rsidRPr="005455D1" w:rsidRDefault="005248BD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Možnost, vendar ne obveznost, da stranke delijo svoje podatke z uporabniki podatkov</w:t>
            </w:r>
          </w:p>
        </w:tc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S finančnimi institucijami ali finančno tehnološkimi podjetji  (</w:t>
            </w:r>
            <w:proofErr w:type="spellStart"/>
            <w:r w:rsidRPr="005455D1">
              <w:rPr>
                <w:rFonts w:ascii="Arial" w:hAnsi="Arial" w:cs="Arial"/>
                <w:sz w:val="20"/>
                <w:szCs w:val="20"/>
              </w:rPr>
              <w:t>fintech</w:t>
            </w:r>
            <w:proofErr w:type="spellEnd"/>
            <w:r w:rsidRPr="005455D1">
              <w:rPr>
                <w:rFonts w:ascii="Arial" w:hAnsi="Arial" w:cs="Arial"/>
                <w:sz w:val="20"/>
                <w:szCs w:val="20"/>
              </w:rPr>
              <w:t xml:space="preserve"> podjetji)</w:t>
            </w:r>
          </w:p>
        </w:tc>
      </w:tr>
      <w:tr w:rsidR="005248BD" w:rsidRPr="005455D1" w:rsidTr="005248BD"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Obveznost imetnikov podatkov o strankah, da te podatke dajo na voljo uporabnikom podatkov</w:t>
            </w:r>
          </w:p>
        </w:tc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Za to bodo morali vzpostaviti potrebno tehnično infrastrukturo in pridobiti bodo morali dovoljenje stranke</w:t>
            </w:r>
          </w:p>
        </w:tc>
      </w:tr>
      <w:tr w:rsidR="005248BD" w:rsidRPr="005455D1" w:rsidTr="005248BD"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Popoln nadzor strank nad tem, kdo dostopa do njihovih podatkov in s kakšnim namenom</w:t>
            </w:r>
          </w:p>
        </w:tc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5248BD" w:rsidRPr="005455D1" w:rsidTr="005248BD"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Standardizacija podatkov o strankah in potrebnih tehničnih vmesnikov</w:t>
            </w:r>
          </w:p>
        </w:tc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To je predvideno prek shem za izmenjavo finančnih podatkov, katerih člani morajo postati tako imetniki kot uporabniki podatkov</w:t>
            </w:r>
          </w:p>
        </w:tc>
      </w:tr>
      <w:tr w:rsidR="005248BD" w:rsidRPr="005455D1" w:rsidTr="005248BD"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Jasna ureditev odgovornosti za kršitve varstva podatkov in mehanizmi za reševanje sporov</w:t>
            </w:r>
          </w:p>
        </w:tc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Prav tako prek shem za izmenjavo podatkov</w:t>
            </w:r>
          </w:p>
        </w:tc>
      </w:tr>
      <w:tr w:rsidR="005248BD" w:rsidRPr="005455D1" w:rsidTr="005248BD"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>Dodatne spodbude za imetnike podatkov, da vzpostavijo visokokakovostne vmesnike za uporabnike podatkov</w:t>
            </w:r>
          </w:p>
        </w:tc>
        <w:tc>
          <w:tcPr>
            <w:tcW w:w="4606" w:type="dxa"/>
          </w:tcPr>
          <w:p w:rsidR="005248BD" w:rsidRPr="005455D1" w:rsidRDefault="000E0EF1" w:rsidP="005455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55D1">
              <w:rPr>
                <w:rFonts w:ascii="Arial" w:hAnsi="Arial" w:cs="Arial"/>
                <w:sz w:val="20"/>
                <w:szCs w:val="20"/>
              </w:rPr>
              <w:t xml:space="preserve">To naj bi zagotovili </w:t>
            </w:r>
            <w:r w:rsidR="00DF2B4E" w:rsidRPr="005455D1">
              <w:rPr>
                <w:rFonts w:ascii="Arial" w:hAnsi="Arial" w:cs="Arial"/>
                <w:sz w:val="20"/>
                <w:szCs w:val="20"/>
              </w:rPr>
              <w:t>z razumnim nadomestilom s strani uporabnikov podatkov v skladu s splošnimi načeli izmenjave podatkov med podjetji (B2B), pri čemer bodo morala manjša podjetja plačati nadomestilo le v višini stroškov.</w:t>
            </w:r>
          </w:p>
        </w:tc>
      </w:tr>
    </w:tbl>
    <w:p w:rsidR="005248BD" w:rsidRPr="005455D1" w:rsidRDefault="00DF2B4E" w:rsidP="005455D1">
      <w:pPr>
        <w:jc w:val="both"/>
        <w:rPr>
          <w:rFonts w:ascii="Arial" w:hAnsi="Arial" w:cs="Arial"/>
          <w:sz w:val="20"/>
          <w:szCs w:val="20"/>
        </w:rPr>
      </w:pPr>
      <w:r w:rsidRPr="005455D1">
        <w:rPr>
          <w:rFonts w:ascii="Arial" w:hAnsi="Arial" w:cs="Arial"/>
          <w:sz w:val="20"/>
          <w:szCs w:val="20"/>
        </w:rPr>
        <w:t>Vir: Evropska komisija</w:t>
      </w:r>
    </w:p>
    <w:p w:rsidR="00DF2B4E" w:rsidRPr="005455D1" w:rsidRDefault="00DF2B4E" w:rsidP="005455D1">
      <w:pPr>
        <w:jc w:val="both"/>
        <w:rPr>
          <w:rFonts w:ascii="Arial" w:hAnsi="Arial" w:cs="Arial"/>
          <w:b/>
          <w:sz w:val="20"/>
          <w:szCs w:val="20"/>
        </w:rPr>
      </w:pPr>
      <w:r w:rsidRPr="005455D1">
        <w:rPr>
          <w:rFonts w:ascii="Arial" w:hAnsi="Arial" w:cs="Arial"/>
          <w:b/>
          <w:sz w:val="20"/>
          <w:szCs w:val="20"/>
        </w:rPr>
        <w:t>Koristne informacije:</w:t>
      </w:r>
    </w:p>
    <w:p w:rsidR="00DF2B4E" w:rsidRPr="005455D1" w:rsidRDefault="00DF2B4E" w:rsidP="005455D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455D1">
        <w:rPr>
          <w:rFonts w:ascii="Arial" w:hAnsi="Arial" w:cs="Arial"/>
          <w:sz w:val="20"/>
          <w:szCs w:val="20"/>
        </w:rPr>
        <w:t>Zakonodajna predloga:</w:t>
      </w:r>
    </w:p>
    <w:p w:rsidR="00DF2B4E" w:rsidRPr="005455D1" w:rsidRDefault="00AB32DE" w:rsidP="005455D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DF2B4E" w:rsidRPr="005455D1">
          <w:rPr>
            <w:rStyle w:val="Hiperpovezava"/>
            <w:rFonts w:ascii="Arial" w:hAnsi="Arial" w:cs="Arial"/>
            <w:sz w:val="20"/>
            <w:szCs w:val="20"/>
          </w:rPr>
          <w:t>https://finance.ec.europa.eu/publications/financial-data-access-and-payments-package_sl</w:t>
        </w:r>
      </w:hyperlink>
    </w:p>
    <w:p w:rsidR="00DF2B4E" w:rsidRPr="005455D1" w:rsidRDefault="00DF2B4E" w:rsidP="00545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55D1">
        <w:rPr>
          <w:rFonts w:ascii="Arial" w:hAnsi="Arial" w:cs="Arial"/>
          <w:sz w:val="20"/>
          <w:szCs w:val="20"/>
        </w:rPr>
        <w:t>Pripravila:</w:t>
      </w:r>
    </w:p>
    <w:p w:rsidR="00DF2B4E" w:rsidRPr="005455D1" w:rsidRDefault="00DF2B4E" w:rsidP="005455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55D1">
        <w:rPr>
          <w:rFonts w:ascii="Arial" w:hAnsi="Arial" w:cs="Arial"/>
          <w:sz w:val="20"/>
          <w:szCs w:val="20"/>
        </w:rPr>
        <w:t>Darja Kocbek</w:t>
      </w:r>
    </w:p>
    <w:sectPr w:rsidR="00DF2B4E" w:rsidRPr="005455D1" w:rsidSect="00734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288D"/>
    <w:multiLevelType w:val="hybridMultilevel"/>
    <w:tmpl w:val="A0FEA7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08D0"/>
    <w:rsid w:val="000E0EF1"/>
    <w:rsid w:val="005248BD"/>
    <w:rsid w:val="005455D1"/>
    <w:rsid w:val="006208D0"/>
    <w:rsid w:val="00734273"/>
    <w:rsid w:val="007926F2"/>
    <w:rsid w:val="009E1A1A"/>
    <w:rsid w:val="00AB32DE"/>
    <w:rsid w:val="00AF4709"/>
    <w:rsid w:val="00DF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4273"/>
  </w:style>
  <w:style w:type="paragraph" w:styleId="Naslov2">
    <w:name w:val="heading 2"/>
    <w:basedOn w:val="Navaden"/>
    <w:link w:val="Naslov2Znak"/>
    <w:uiPriority w:val="9"/>
    <w:qFormat/>
    <w:rsid w:val="00545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F47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DF2B4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5455D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5455D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45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45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.ec.europa.eu/publications/financial-data-access-and-payments-package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2023-06-28T19:35:00Z</dcterms:created>
  <dcterms:modified xsi:type="dcterms:W3CDTF">2023-06-29T07:21:00Z</dcterms:modified>
</cp:coreProperties>
</file>