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3A" w:rsidRDefault="00287B3A" w:rsidP="00287B3A">
      <w:pPr>
        <w:rPr>
          <w:rFonts w:ascii="Arial" w:hAnsi="Arial" w:cs="Arial"/>
          <w:b/>
          <w:i/>
        </w:rPr>
      </w:pPr>
    </w:p>
    <w:p w:rsidR="00287B3A" w:rsidRDefault="00287B3A" w:rsidP="00287B3A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3A" w:rsidRDefault="00287B3A" w:rsidP="00287B3A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87B3A" w:rsidRDefault="00287B3A" w:rsidP="00287B3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87B3A" w:rsidRDefault="00287B3A" w:rsidP="00287B3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110</w:t>
      </w:r>
      <w:r w:rsidRPr="00674661">
        <w:rPr>
          <w:rFonts w:ascii="Arial" w:hAnsi="Arial" w:cs="Arial"/>
          <w:b/>
        </w:rPr>
        <w:t xml:space="preserve"> – 2017</w:t>
      </w:r>
    </w:p>
    <w:p w:rsidR="00287B3A" w:rsidRPr="00674661" w:rsidRDefault="00287B3A" w:rsidP="00287B3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jul</w:t>
      </w:r>
      <w:r w:rsidRPr="00674661">
        <w:rPr>
          <w:rFonts w:ascii="Arial" w:hAnsi="Arial" w:cs="Arial"/>
          <w:b/>
        </w:rPr>
        <w:t>ij 2017</w:t>
      </w:r>
    </w:p>
    <w:p w:rsidR="00287B3A" w:rsidRDefault="00A4444B" w:rsidP="00287B3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Objavljeni so k</w:t>
      </w:r>
      <w:r w:rsidR="00287B3A">
        <w:rPr>
          <w:rFonts w:ascii="Arial" w:hAnsi="Arial" w:cs="Arial"/>
          <w:b/>
          <w:color w:val="993300"/>
          <w:sz w:val="32"/>
          <w:szCs w:val="32"/>
        </w:rPr>
        <w:t>riteriji za ustanovitev inovacijskih skupnosti za industrijsko proizvodnjo in za urbani transport</w:t>
      </w:r>
    </w:p>
    <w:p w:rsidR="00B459D4" w:rsidRPr="004324AB" w:rsidRDefault="00836518" w:rsidP="004324AB">
      <w:pPr>
        <w:rPr>
          <w:rFonts w:ascii="Arial" w:hAnsi="Arial" w:cs="Arial"/>
          <w:b/>
          <w:i/>
        </w:rPr>
      </w:pPr>
      <w:r w:rsidRPr="004324AB">
        <w:rPr>
          <w:rFonts w:ascii="Arial" w:hAnsi="Arial" w:cs="Arial"/>
          <w:b/>
          <w:i/>
        </w:rPr>
        <w:t xml:space="preserve">Evropski inštitut za inovacije in tehnologijo (EIT) je z namenom spodbuditi inovacije, ki so potrebne za rešitev glavnih družbenih izzivov, </w:t>
      </w:r>
      <w:r w:rsidR="004324AB" w:rsidRPr="004324AB">
        <w:rPr>
          <w:rFonts w:ascii="Arial" w:hAnsi="Arial" w:cs="Arial"/>
          <w:b/>
          <w:i/>
        </w:rPr>
        <w:t>začel</w:t>
      </w:r>
      <w:r w:rsidRPr="004324AB">
        <w:rPr>
          <w:rFonts w:ascii="Arial" w:hAnsi="Arial" w:cs="Arial"/>
          <w:b/>
          <w:i/>
        </w:rPr>
        <w:t xml:space="preserve"> proces za ustanovitev dveh novih </w:t>
      </w:r>
      <w:r w:rsidR="00287B3A">
        <w:rPr>
          <w:rFonts w:ascii="Arial" w:hAnsi="Arial" w:cs="Arial"/>
          <w:b/>
          <w:i/>
        </w:rPr>
        <w:t>inovacijskih skupnosti</w:t>
      </w:r>
      <w:r w:rsidRPr="008E7F9F">
        <w:rPr>
          <w:rFonts w:ascii="Arial" w:hAnsi="Arial" w:cs="Arial"/>
          <w:b/>
          <w:i/>
        </w:rPr>
        <w:t>.</w:t>
      </w:r>
      <w:r w:rsidRPr="004324AB">
        <w:rPr>
          <w:rFonts w:ascii="Arial" w:hAnsi="Arial" w:cs="Arial"/>
          <w:b/>
          <w:i/>
        </w:rPr>
        <w:t xml:space="preserve"> Prva je Inovacijska skupnost proizvodnja, druga pa Inovacijska skupnost Urbana mobilnost. </w:t>
      </w:r>
      <w:r w:rsidR="004324AB" w:rsidRPr="004324AB">
        <w:rPr>
          <w:rFonts w:ascii="Arial" w:hAnsi="Arial" w:cs="Arial"/>
          <w:b/>
          <w:i/>
        </w:rPr>
        <w:t>Objavil</w:t>
      </w:r>
      <w:r w:rsidRPr="004324AB">
        <w:rPr>
          <w:rFonts w:ascii="Arial" w:hAnsi="Arial" w:cs="Arial"/>
          <w:b/>
          <w:i/>
        </w:rPr>
        <w:t xml:space="preserve"> je merila za </w:t>
      </w:r>
      <w:r w:rsidR="004324AB" w:rsidRPr="004324AB">
        <w:rPr>
          <w:rFonts w:ascii="Arial" w:hAnsi="Arial" w:cs="Arial"/>
          <w:b/>
          <w:i/>
        </w:rPr>
        <w:t>evalvacijo, novembra bo objavil</w:t>
      </w:r>
      <w:r w:rsidRPr="004324AB">
        <w:rPr>
          <w:rFonts w:ascii="Arial" w:hAnsi="Arial" w:cs="Arial"/>
          <w:b/>
          <w:i/>
        </w:rPr>
        <w:t xml:space="preserve"> smernice, 12. januarja 2018 pa še razpis za ustanovitev skupnosti. Namen </w:t>
      </w:r>
      <w:r w:rsidR="00287B3A">
        <w:rPr>
          <w:rFonts w:ascii="Arial" w:hAnsi="Arial" w:cs="Arial"/>
          <w:b/>
          <w:i/>
        </w:rPr>
        <w:t xml:space="preserve">inovacijske </w:t>
      </w:r>
      <w:r w:rsidR="008E7F9F">
        <w:rPr>
          <w:rFonts w:ascii="Arial" w:hAnsi="Arial" w:cs="Arial"/>
          <w:b/>
          <w:i/>
        </w:rPr>
        <w:t xml:space="preserve">skupnosti </w:t>
      </w:r>
      <w:r w:rsidRPr="004324AB">
        <w:rPr>
          <w:rFonts w:ascii="Arial" w:hAnsi="Arial" w:cs="Arial"/>
          <w:b/>
          <w:i/>
        </w:rPr>
        <w:t>za proizvodnjo bo okrepiti konkurenčnost proizvodne industrije v EU, namen skupnosti za urbano mobilnost pa pameten, zeleni in integriran urbani transport.</w:t>
      </w:r>
    </w:p>
    <w:p w:rsidR="00836518" w:rsidRPr="008E7F9F" w:rsidRDefault="00836518" w:rsidP="004324AB">
      <w:pPr>
        <w:rPr>
          <w:rFonts w:ascii="Arial" w:hAnsi="Arial" w:cs="Arial"/>
          <w:b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Slika 1: Načrt za ustanovitev novih </w:t>
      </w:r>
      <w:r w:rsidR="008E7F9F">
        <w:rPr>
          <w:rFonts w:ascii="Arial" w:hAnsi="Arial" w:cs="Arial"/>
          <w:b/>
          <w:sz w:val="20"/>
          <w:szCs w:val="20"/>
        </w:rPr>
        <w:t xml:space="preserve">skupnosti znanja in inovacij </w:t>
      </w:r>
    </w:p>
    <w:p w:rsidR="00836518" w:rsidRPr="004324AB" w:rsidRDefault="00836518" w:rsidP="004324AB">
      <w:pPr>
        <w:rPr>
          <w:rFonts w:ascii="Arial" w:hAnsi="Arial" w:cs="Arial"/>
          <w:sz w:val="20"/>
          <w:szCs w:val="20"/>
        </w:rPr>
      </w:pPr>
      <w:r w:rsidRPr="004324AB">
        <w:rPr>
          <w:rFonts w:ascii="Arial" w:hAnsi="Arial" w:cs="Arial"/>
          <w:sz w:val="20"/>
          <w:szCs w:val="20"/>
        </w:rPr>
        <w:drawing>
          <wp:inline distT="0" distB="0" distL="0" distR="0">
            <wp:extent cx="4248150" cy="3044508"/>
            <wp:effectExtent l="19050" t="0" r="0" b="0"/>
            <wp:docPr id="1" name="Slika 1" descr="https://eit.europa.eu/sites/default/files/content-manager/images/kic_call_2018_timelin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it.europa.eu/sites/default/files/content-manager/images/kic_call_2018_timeline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4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18" w:rsidRPr="004324AB" w:rsidRDefault="00836518" w:rsidP="004324AB">
      <w:pPr>
        <w:rPr>
          <w:rFonts w:ascii="Arial" w:hAnsi="Arial" w:cs="Arial"/>
          <w:sz w:val="20"/>
          <w:szCs w:val="20"/>
        </w:rPr>
      </w:pPr>
      <w:r w:rsidRPr="004324AB">
        <w:rPr>
          <w:rFonts w:ascii="Arial" w:hAnsi="Arial" w:cs="Arial"/>
          <w:sz w:val="20"/>
          <w:szCs w:val="20"/>
        </w:rPr>
        <w:t>Vir: Evropska komisija</w:t>
      </w:r>
    </w:p>
    <w:p w:rsidR="00836518" w:rsidRPr="004324AB" w:rsidRDefault="004324AB" w:rsidP="004324AB">
      <w:pPr>
        <w:rPr>
          <w:rFonts w:ascii="Arial" w:hAnsi="Arial" w:cs="Arial"/>
          <w:sz w:val="20"/>
          <w:szCs w:val="20"/>
        </w:rPr>
      </w:pPr>
      <w:r w:rsidRPr="004324AB">
        <w:rPr>
          <w:rFonts w:ascii="Arial" w:hAnsi="Arial" w:cs="Arial"/>
          <w:sz w:val="20"/>
          <w:szCs w:val="20"/>
        </w:rPr>
        <w:lastRenderedPageBreak/>
        <w:t>Po objavi razpisa bo o obeh novih skupnostih</w:t>
      </w:r>
      <w:r w:rsidR="008E7F9F">
        <w:rPr>
          <w:rFonts w:ascii="Arial" w:hAnsi="Arial" w:cs="Arial"/>
          <w:sz w:val="20"/>
          <w:szCs w:val="20"/>
        </w:rPr>
        <w:t xml:space="preserve"> znanja in inovacij</w:t>
      </w:r>
      <w:r w:rsidRPr="004324AB">
        <w:rPr>
          <w:rFonts w:ascii="Arial" w:hAnsi="Arial" w:cs="Arial"/>
          <w:sz w:val="20"/>
          <w:szCs w:val="20"/>
        </w:rPr>
        <w:t xml:space="preserve"> 13. februarja 2018 v Bruslju informativni dan, na katerem bo mogoče dobiti podrobnejše informacije o razpisu, ki se bo zaključil 12. julija 2018. </w:t>
      </w:r>
    </w:p>
    <w:p w:rsidR="008E7F9F" w:rsidRPr="008E7F9F" w:rsidRDefault="004324AB" w:rsidP="008E7F9F">
      <w:p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sz w:val="20"/>
          <w:szCs w:val="20"/>
        </w:rPr>
        <w:t>Slovenije še ni med državami, ki so v okviru do zdaj ustanovljenih šestih skupnosti</w:t>
      </w:r>
      <w:r w:rsidR="008E7F9F" w:rsidRPr="008E7F9F">
        <w:rPr>
          <w:rFonts w:ascii="Arial" w:hAnsi="Arial" w:cs="Arial"/>
          <w:sz w:val="20"/>
          <w:szCs w:val="20"/>
        </w:rPr>
        <w:t xml:space="preserve"> znanja in inovacij </w:t>
      </w:r>
      <w:r w:rsidRPr="008E7F9F">
        <w:rPr>
          <w:rFonts w:ascii="Arial" w:hAnsi="Arial" w:cs="Arial"/>
          <w:sz w:val="20"/>
          <w:szCs w:val="20"/>
        </w:rPr>
        <w:t xml:space="preserve"> vzpostavile informacijsko vozlišče. </w:t>
      </w:r>
      <w:r w:rsidR="008E7F9F" w:rsidRPr="008E7F9F">
        <w:rPr>
          <w:rFonts w:ascii="Arial" w:hAnsi="Arial" w:cs="Arial"/>
          <w:sz w:val="20"/>
          <w:szCs w:val="20"/>
        </w:rPr>
        <w:t>Te skupnosti so:</w:t>
      </w:r>
    </w:p>
    <w:p w:rsidR="008E7F9F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8E7F9F">
        <w:rPr>
          <w:rFonts w:ascii="Arial" w:hAnsi="Arial" w:cs="Arial"/>
          <w:b/>
          <w:sz w:val="20"/>
          <w:szCs w:val="20"/>
        </w:rPr>
        <w:t>Climate</w:t>
      </w:r>
      <w:proofErr w:type="spellEnd"/>
      <w:r w:rsidRPr="008E7F9F">
        <w:rPr>
          <w:rFonts w:ascii="Arial" w:hAnsi="Arial" w:cs="Arial"/>
          <w:b/>
          <w:sz w:val="20"/>
          <w:szCs w:val="20"/>
        </w:rPr>
        <w:t>-KIC</w:t>
      </w:r>
      <w:r w:rsidRPr="008E7F9F">
        <w:rPr>
          <w:rFonts w:ascii="Arial" w:hAnsi="Arial" w:cs="Arial"/>
          <w:sz w:val="20"/>
          <w:szCs w:val="20"/>
        </w:rPr>
        <w:t>: ukvarja se z izzivi  na področju podnebnih sprememb.</w:t>
      </w:r>
    </w:p>
    <w:p w:rsidR="008E7F9F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EIT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Digital</w:t>
      </w:r>
      <w:proofErr w:type="spellEnd"/>
      <w:r w:rsidRPr="008E7F9F">
        <w:rPr>
          <w:rFonts w:ascii="Arial" w:hAnsi="Arial" w:cs="Arial"/>
          <w:sz w:val="20"/>
          <w:szCs w:val="20"/>
        </w:rPr>
        <w:t>: ustvarja vrhunsko informacijsko in komunikacijsko tehnologijo.</w:t>
      </w:r>
    </w:p>
    <w:p w:rsidR="008E7F9F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KIC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InnoEnergy</w:t>
      </w:r>
      <w:proofErr w:type="spellEnd"/>
      <w:r w:rsidRPr="008E7F9F">
        <w:rPr>
          <w:rFonts w:ascii="Arial" w:hAnsi="Arial" w:cs="Arial"/>
          <w:sz w:val="20"/>
          <w:szCs w:val="20"/>
        </w:rPr>
        <w:t>: se ukvarja s trajnostno energijo.</w:t>
      </w:r>
    </w:p>
    <w:p w:rsidR="008E7F9F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EIT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Health</w:t>
      </w:r>
      <w:proofErr w:type="spellEnd"/>
      <w:r w:rsidRPr="008E7F9F">
        <w:rPr>
          <w:rFonts w:ascii="Arial" w:hAnsi="Arial" w:cs="Arial"/>
          <w:sz w:val="20"/>
          <w:szCs w:val="20"/>
        </w:rPr>
        <w:t>: skrbi za izboljšanje kakovosti življenja evropskih državljanov ter vzdržnosti sistemov zdravstvenega in socialnega varstva.</w:t>
      </w:r>
    </w:p>
    <w:p w:rsidR="008E7F9F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EIT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Raw</w:t>
      </w:r>
      <w:proofErr w:type="spellEnd"/>
      <w:r w:rsidRPr="008E7F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Materials</w:t>
      </w:r>
      <w:proofErr w:type="spellEnd"/>
      <w:r w:rsidRPr="008E7F9F">
        <w:rPr>
          <w:rFonts w:ascii="Arial" w:hAnsi="Arial" w:cs="Arial"/>
          <w:sz w:val="20"/>
          <w:szCs w:val="20"/>
        </w:rPr>
        <w:t>: zagotavlja dostopnost, razpoložljivost in trajnostno rabo surovin za gospodarstvo in državljane.</w:t>
      </w:r>
    </w:p>
    <w:p w:rsidR="004324AB" w:rsidRPr="008E7F9F" w:rsidRDefault="008E7F9F" w:rsidP="008E7F9F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 xml:space="preserve">EIT </w:t>
      </w:r>
      <w:proofErr w:type="spellStart"/>
      <w:r w:rsidRPr="008E7F9F">
        <w:rPr>
          <w:rFonts w:ascii="Arial" w:hAnsi="Arial" w:cs="Arial"/>
          <w:b/>
          <w:sz w:val="20"/>
          <w:szCs w:val="20"/>
        </w:rPr>
        <w:t>Food</w:t>
      </w:r>
      <w:proofErr w:type="spellEnd"/>
      <w:r w:rsidRPr="008E7F9F">
        <w:rPr>
          <w:rFonts w:ascii="Arial" w:hAnsi="Arial" w:cs="Arial"/>
          <w:sz w:val="20"/>
          <w:szCs w:val="20"/>
        </w:rPr>
        <w:t>:  deluje na področju zagotavljanja trajnostne prehranske vrednostne verige, ki bo odporna na podnebne spremembe.</w:t>
      </w:r>
    </w:p>
    <w:p w:rsidR="004324AB" w:rsidRPr="008E7F9F" w:rsidRDefault="004324AB" w:rsidP="004324AB">
      <w:pPr>
        <w:rPr>
          <w:rFonts w:ascii="Arial" w:hAnsi="Arial" w:cs="Arial"/>
          <w:b/>
          <w:sz w:val="20"/>
          <w:szCs w:val="20"/>
        </w:rPr>
      </w:pPr>
      <w:r w:rsidRPr="008E7F9F">
        <w:rPr>
          <w:rFonts w:ascii="Arial" w:hAnsi="Arial" w:cs="Arial"/>
          <w:b/>
          <w:sz w:val="20"/>
          <w:szCs w:val="20"/>
        </w:rPr>
        <w:t>Koristne informacije:</w:t>
      </w:r>
    </w:p>
    <w:p w:rsidR="000A2496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A2496">
        <w:rPr>
          <w:rFonts w:ascii="Arial" w:hAnsi="Arial" w:cs="Arial"/>
          <w:sz w:val="20"/>
          <w:szCs w:val="20"/>
        </w:rPr>
        <w:t>Spletna stran z informacijami o predvidenem razpisu:</w:t>
      </w:r>
    </w:p>
    <w:p w:rsidR="000A2496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hyperlink r:id="rId7" w:history="1">
        <w:r w:rsidRPr="000A2496">
          <w:rPr>
            <w:rStyle w:val="Hiperpovezava"/>
            <w:rFonts w:ascii="Arial" w:hAnsi="Arial" w:cs="Arial"/>
            <w:sz w:val="20"/>
            <w:szCs w:val="20"/>
          </w:rPr>
          <w:t>https://eit.europa.eu/collaborate/2018-call-for-kics</w:t>
        </w:r>
      </w:hyperlink>
    </w:p>
    <w:p w:rsidR="000A2496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A2496">
        <w:rPr>
          <w:rFonts w:ascii="Arial" w:hAnsi="Arial" w:cs="Arial"/>
          <w:sz w:val="20"/>
          <w:szCs w:val="20"/>
        </w:rPr>
        <w:t>Predstavitev predvidenega razpisa:</w:t>
      </w:r>
    </w:p>
    <w:p w:rsidR="000A2496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hyperlink r:id="rId8" w:history="1">
        <w:r w:rsidRPr="000A2496">
          <w:rPr>
            <w:rStyle w:val="Hiperpovezava"/>
            <w:rFonts w:ascii="Arial" w:hAnsi="Arial" w:cs="Arial"/>
            <w:sz w:val="20"/>
            <w:szCs w:val="20"/>
          </w:rPr>
          <w:t>https://eit.europa.eu/sites/default/files/presentation_on_the_eits_2018_call_for_kics_-_manufacturing_july_2017.pdf</w:t>
        </w:r>
      </w:hyperlink>
    </w:p>
    <w:p w:rsidR="000A2496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A2496">
        <w:rPr>
          <w:rFonts w:ascii="Arial" w:hAnsi="Arial" w:cs="Arial"/>
          <w:sz w:val="20"/>
          <w:szCs w:val="20"/>
        </w:rPr>
        <w:t>Spletna stran EIT:</w:t>
      </w:r>
    </w:p>
    <w:p w:rsidR="008E7F9F" w:rsidRPr="000A2496" w:rsidRDefault="000A2496" w:rsidP="000A2496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hyperlink r:id="rId9" w:history="1">
        <w:r w:rsidRPr="000A2496">
          <w:rPr>
            <w:rStyle w:val="Hiperpovezava"/>
            <w:rFonts w:ascii="Arial" w:hAnsi="Arial" w:cs="Arial"/>
            <w:sz w:val="20"/>
            <w:szCs w:val="20"/>
          </w:rPr>
          <w:t>https://eit.europa.eu/sl/in-your-language</w:t>
        </w:r>
      </w:hyperlink>
    </w:p>
    <w:p w:rsidR="004324AB" w:rsidRPr="004324AB" w:rsidRDefault="004324AB" w:rsidP="004324AB">
      <w:pPr>
        <w:rPr>
          <w:rFonts w:ascii="Arial" w:hAnsi="Arial" w:cs="Arial"/>
          <w:sz w:val="20"/>
          <w:szCs w:val="20"/>
        </w:rPr>
      </w:pPr>
      <w:r w:rsidRPr="004324AB">
        <w:rPr>
          <w:rFonts w:ascii="Arial" w:hAnsi="Arial" w:cs="Arial"/>
          <w:sz w:val="20"/>
          <w:szCs w:val="20"/>
        </w:rPr>
        <w:t>Pripravila:</w:t>
      </w:r>
    </w:p>
    <w:p w:rsidR="004324AB" w:rsidRPr="004324AB" w:rsidRDefault="004324AB" w:rsidP="004324AB">
      <w:pPr>
        <w:rPr>
          <w:rFonts w:ascii="Arial" w:hAnsi="Arial" w:cs="Arial"/>
          <w:sz w:val="20"/>
          <w:szCs w:val="20"/>
        </w:rPr>
      </w:pPr>
      <w:r w:rsidRPr="004324AB">
        <w:rPr>
          <w:rFonts w:ascii="Arial" w:hAnsi="Arial" w:cs="Arial"/>
          <w:sz w:val="20"/>
          <w:szCs w:val="20"/>
        </w:rPr>
        <w:t>Darja Kocbek</w:t>
      </w:r>
    </w:p>
    <w:sectPr w:rsidR="004324AB" w:rsidRPr="004324A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2C4"/>
    <w:multiLevelType w:val="multilevel"/>
    <w:tmpl w:val="C2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E60FC"/>
    <w:multiLevelType w:val="hybridMultilevel"/>
    <w:tmpl w:val="E3E2D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83FB4"/>
    <w:multiLevelType w:val="multilevel"/>
    <w:tmpl w:val="48A0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56F79"/>
    <w:multiLevelType w:val="hybridMultilevel"/>
    <w:tmpl w:val="D7021C2A"/>
    <w:lvl w:ilvl="0" w:tplc="45262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518"/>
    <w:rsid w:val="000A2496"/>
    <w:rsid w:val="001A4C22"/>
    <w:rsid w:val="00287B3A"/>
    <w:rsid w:val="004324AB"/>
    <w:rsid w:val="00836518"/>
    <w:rsid w:val="008E7F9F"/>
    <w:rsid w:val="00A4444B"/>
    <w:rsid w:val="00B459D4"/>
    <w:rsid w:val="00CA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7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51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65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324AB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8E7F9F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8E7F9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E7F9F"/>
    <w:rPr>
      <w:b/>
      <w:bCs/>
    </w:rPr>
  </w:style>
  <w:style w:type="paragraph" w:styleId="Odstavekseznama">
    <w:name w:val="List Paragraph"/>
    <w:basedOn w:val="Navaden"/>
    <w:uiPriority w:val="34"/>
    <w:qFormat/>
    <w:rsid w:val="008E7F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87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t.europa.eu/sites/default/files/presentation_on_the_eits_2018_call_for_kics_-_manufacturing_july_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t.europa.eu/collaborate/2018-call-for-k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it.europa.eu/sl/in-your-languag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2017-07-04T15:53:00Z</dcterms:created>
  <dcterms:modified xsi:type="dcterms:W3CDTF">2017-07-04T16:33:00Z</dcterms:modified>
</cp:coreProperties>
</file>