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D4" w:rsidRPr="00467345" w:rsidRDefault="00B81ED4" w:rsidP="00B81ED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ED4" w:rsidRPr="00301C78" w:rsidRDefault="00B81ED4" w:rsidP="00B81ED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81ED4" w:rsidRPr="00083714" w:rsidRDefault="00B81ED4" w:rsidP="00B81ED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B81ED4" w:rsidRDefault="00B81ED4" w:rsidP="00B81ED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 </w:t>
      </w:r>
      <w:r w:rsidRPr="00083714">
        <w:rPr>
          <w:b/>
        </w:rPr>
        <w:t>– 20</w:t>
      </w:r>
      <w:r>
        <w:rPr>
          <w:b/>
        </w:rPr>
        <w:t>23</w:t>
      </w:r>
    </w:p>
    <w:p w:rsidR="00B81ED4" w:rsidRDefault="00B81ED4" w:rsidP="00B81ED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23.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9D22D7" w:rsidRDefault="00B81ED4" w:rsidP="00B81ED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 mehanizem za spodbujanje talentov</w:t>
      </w:r>
    </w:p>
    <w:p w:rsidR="00FB5710" w:rsidRPr="009D22D7" w:rsidRDefault="00B44081" w:rsidP="009D22D7">
      <w:pPr>
        <w:jc w:val="both"/>
        <w:rPr>
          <w:rFonts w:ascii="Arial" w:hAnsi="Arial" w:cs="Arial"/>
          <w:b/>
          <w:i/>
        </w:rPr>
      </w:pPr>
      <w:r w:rsidRPr="009D22D7">
        <w:rPr>
          <w:rFonts w:ascii="Arial" w:hAnsi="Arial" w:cs="Arial"/>
          <w:b/>
          <w:i/>
        </w:rPr>
        <w:t xml:space="preserve">Evropska komisija je uvedla </w:t>
      </w:r>
      <w:r w:rsidR="00A41D48" w:rsidRPr="009D22D7">
        <w:rPr>
          <w:rFonts w:ascii="Arial" w:hAnsi="Arial" w:cs="Arial"/>
          <w:b/>
          <w:i/>
        </w:rPr>
        <w:t>»</w:t>
      </w:r>
      <w:r w:rsidRPr="009D22D7">
        <w:rPr>
          <w:rFonts w:ascii="Arial" w:hAnsi="Arial" w:cs="Arial"/>
          <w:b/>
          <w:i/>
        </w:rPr>
        <w:t>mehanizem za spodbujanje talentov</w:t>
      </w:r>
      <w:r w:rsidR="00A41D48" w:rsidRPr="009D22D7">
        <w:rPr>
          <w:rFonts w:ascii="Arial" w:hAnsi="Arial" w:cs="Arial"/>
          <w:b/>
          <w:i/>
        </w:rPr>
        <w:t>« s katerim želi pri usposabljanju, zadrževanju in privabljanju ljudi, spretnosti ter kompetenc, potrebnih za soočanje s posledicami demografskega prehoda, podpreti</w:t>
      </w:r>
      <w:r w:rsidRPr="009D22D7">
        <w:rPr>
          <w:rFonts w:ascii="Arial" w:hAnsi="Arial" w:cs="Arial"/>
          <w:b/>
          <w:i/>
        </w:rPr>
        <w:t xml:space="preserve"> regije EU, ki jih je prizadelo pospešeno upadanje delovno sposobnega prebivalstva.</w:t>
      </w:r>
      <w:r w:rsidR="00A41D48" w:rsidRPr="009D22D7">
        <w:rPr>
          <w:rFonts w:ascii="Arial" w:hAnsi="Arial" w:cs="Arial"/>
          <w:b/>
          <w:i/>
        </w:rPr>
        <w:t xml:space="preserve"> Mehanizem bo temeljil na osmih stebrih. Evropska komisija v sporočilu navaja, kako lahko obstoječi instrumenti in politike EU podprejo oživitev gospodarstva in razvoj pravih spretnosti za privabljanje dejavnosti z visokim potencialom v prizadete regije. Člani lahko dobijo več informacij na SBRA.</w:t>
      </w:r>
    </w:p>
    <w:p w:rsidR="00A41D48" w:rsidRPr="009D22D7" w:rsidRDefault="00A41D48" w:rsidP="009D22D7">
      <w:pPr>
        <w:jc w:val="both"/>
        <w:rPr>
          <w:rFonts w:ascii="Arial" w:hAnsi="Arial" w:cs="Arial"/>
          <w:b/>
          <w:sz w:val="20"/>
          <w:szCs w:val="20"/>
        </w:rPr>
      </w:pPr>
      <w:r w:rsidRPr="009D22D7">
        <w:rPr>
          <w:rFonts w:ascii="Arial" w:hAnsi="Arial" w:cs="Arial"/>
          <w:b/>
          <w:sz w:val="20"/>
          <w:szCs w:val="20"/>
        </w:rPr>
        <w:t>Tabela 1: Osem stebrov mehanizma za spodbujanje talentov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22D7">
              <w:rPr>
                <w:rFonts w:ascii="Arial" w:hAnsi="Arial" w:cs="Arial"/>
                <w:b/>
                <w:sz w:val="20"/>
                <w:szCs w:val="20"/>
              </w:rPr>
              <w:t>Steber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22D7">
              <w:rPr>
                <w:rFonts w:ascii="Arial" w:hAnsi="Arial" w:cs="Arial"/>
                <w:b/>
                <w:sz w:val="20"/>
                <w:szCs w:val="20"/>
              </w:rPr>
              <w:t>Upravičenci oziroma cilji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 xml:space="preserve">Nov pilotni projekt za pomoč regijam, ki se soočajo s »pastjo </w:t>
            </w:r>
            <w:proofErr w:type="spellStart"/>
            <w:r w:rsidRPr="009D22D7">
              <w:rPr>
                <w:rFonts w:ascii="Arial" w:hAnsi="Arial" w:cs="Arial"/>
                <w:sz w:val="20"/>
                <w:szCs w:val="20"/>
              </w:rPr>
              <w:t>nerazvoja</w:t>
            </w:r>
            <w:proofErr w:type="spellEnd"/>
            <w:r w:rsidRPr="009D22D7">
              <w:rPr>
                <w:rFonts w:ascii="Arial" w:hAnsi="Arial" w:cs="Arial"/>
                <w:sz w:val="20"/>
                <w:szCs w:val="20"/>
              </w:rPr>
              <w:t xml:space="preserve"> talentov«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Podpora bo na voljo pilotnim regijam, izbranim na podlagi javnega razpisa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Nova pobuda »Pametno prilagajanje regij na demografski prehod«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Upravičene regije bodo izbrane na podlagi odprtega razpisa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Podpora pri uvajanju reform na nacionalni in regionalni ravni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Podpora bo na voljo državam članicam, ki se bodo prijavile na razpis v okviru Instrumenta za tehnično podporo za leto 2023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 xml:space="preserve">Programi kohezijske politike in </w:t>
            </w:r>
            <w:proofErr w:type="spellStart"/>
            <w:r w:rsidRPr="009D22D7">
              <w:rPr>
                <w:rFonts w:ascii="Arial" w:hAnsi="Arial" w:cs="Arial"/>
                <w:sz w:val="20"/>
                <w:szCs w:val="20"/>
              </w:rPr>
              <w:t>medregionalne</w:t>
            </w:r>
            <w:proofErr w:type="spellEnd"/>
            <w:r w:rsidRPr="009D22D7">
              <w:rPr>
                <w:rFonts w:ascii="Arial" w:hAnsi="Arial" w:cs="Arial"/>
                <w:sz w:val="20"/>
                <w:szCs w:val="20"/>
              </w:rPr>
              <w:t xml:space="preserve"> naložbe v inovacije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Cilj je spodbuditi inovacije in priložnosti za ustvarjanje visokokvalificiranih delovnih mest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 xml:space="preserve">Nov razpis za inovativne ukrepe v okviru Evropske pobude za mesta 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Cilj je preizkusiti lokalne rešitve, ki so jih oblikovala vse manjša mesta za obravnavanje izzivov pri razvoju, zadrževanju in privabljanju kvalificiranih delavcev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Pobude EU, ki podpirajo razvoj talentov, bodo označene na posebni spletni strani</w:t>
            </w:r>
          </w:p>
        </w:tc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Cilj je zagotoviti lažji dostop do informacij o politikah EU na področju raziskav in inovacij, usposabljanja, izobraževanja ter mobilnosti mladih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A41D48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Izmenjava izkušenj in razširjanje dobrih praks</w:t>
            </w:r>
          </w:p>
        </w:tc>
        <w:tc>
          <w:tcPr>
            <w:tcW w:w="4606" w:type="dxa"/>
          </w:tcPr>
          <w:p w:rsidR="00A41D48" w:rsidRPr="009D22D7" w:rsidRDefault="00423E5A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Cilj je zagotoviti možnost za vzpostavitev tematskih in regionalnih delovnih skupin za obravnavanje specifičnih strokovnih ali teritorialnih izzivov</w:t>
            </w:r>
          </w:p>
        </w:tc>
      </w:tr>
      <w:tr w:rsidR="00A41D48" w:rsidRPr="009D22D7" w:rsidTr="00A41D48">
        <w:tc>
          <w:tcPr>
            <w:tcW w:w="4606" w:type="dxa"/>
          </w:tcPr>
          <w:p w:rsidR="00A41D48" w:rsidRPr="009D22D7" w:rsidRDefault="00423E5A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Razvoj analitičnega znanja</w:t>
            </w:r>
          </w:p>
        </w:tc>
        <w:tc>
          <w:tcPr>
            <w:tcW w:w="4606" w:type="dxa"/>
          </w:tcPr>
          <w:p w:rsidR="00A41D48" w:rsidRPr="009D22D7" w:rsidRDefault="00423E5A" w:rsidP="009D2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2D7">
              <w:rPr>
                <w:rFonts w:ascii="Arial" w:hAnsi="Arial" w:cs="Arial"/>
                <w:sz w:val="20"/>
                <w:szCs w:val="20"/>
              </w:rPr>
              <w:t>Cilj je podpreti in spodbujati z dokazi podprte politike o regionalnem razvoju in migracijah</w:t>
            </w:r>
          </w:p>
        </w:tc>
      </w:tr>
    </w:tbl>
    <w:p w:rsidR="00A41D48" w:rsidRPr="009D22D7" w:rsidRDefault="00423E5A" w:rsidP="009D22D7">
      <w:pPr>
        <w:jc w:val="both"/>
        <w:rPr>
          <w:rFonts w:ascii="Arial" w:hAnsi="Arial" w:cs="Arial"/>
          <w:sz w:val="20"/>
          <w:szCs w:val="20"/>
        </w:rPr>
      </w:pPr>
      <w:r w:rsidRPr="009D22D7">
        <w:rPr>
          <w:rFonts w:ascii="Arial" w:hAnsi="Arial" w:cs="Arial"/>
          <w:sz w:val="20"/>
          <w:szCs w:val="20"/>
        </w:rPr>
        <w:t>Vir: Evropska komisija</w:t>
      </w:r>
    </w:p>
    <w:p w:rsidR="00423E5A" w:rsidRPr="009D22D7" w:rsidRDefault="0017474B" w:rsidP="009D22D7">
      <w:pPr>
        <w:jc w:val="both"/>
        <w:rPr>
          <w:rFonts w:ascii="Arial" w:hAnsi="Arial" w:cs="Arial"/>
          <w:b/>
          <w:sz w:val="20"/>
          <w:szCs w:val="20"/>
        </w:rPr>
      </w:pPr>
      <w:r w:rsidRPr="009D22D7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17474B" w:rsidRPr="009D22D7" w:rsidRDefault="0017474B" w:rsidP="009D22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22D7">
        <w:rPr>
          <w:rFonts w:ascii="Arial" w:hAnsi="Arial" w:cs="Arial"/>
          <w:sz w:val="20"/>
          <w:szCs w:val="20"/>
        </w:rPr>
        <w:t xml:space="preserve">Sporočilo Evropske komisije </w:t>
      </w:r>
      <w:hyperlink r:id="rId6" w:history="1">
        <w:r w:rsidRPr="009D22D7">
          <w:rPr>
            <w:rStyle w:val="Hiperpovezava"/>
            <w:rFonts w:ascii="Arial" w:hAnsi="Arial" w:cs="Arial"/>
            <w:sz w:val="20"/>
            <w:szCs w:val="20"/>
          </w:rPr>
          <w:t>Izkoriščanje potenciala nadarjenih posameznikov v evropskih regijah</w:t>
        </w:r>
      </w:hyperlink>
      <w:r w:rsidRPr="009D22D7">
        <w:rPr>
          <w:rFonts w:ascii="Arial" w:hAnsi="Arial" w:cs="Arial"/>
          <w:sz w:val="20"/>
          <w:szCs w:val="20"/>
        </w:rPr>
        <w:t>:</w:t>
      </w:r>
    </w:p>
    <w:p w:rsidR="0017474B" w:rsidRPr="009D22D7" w:rsidRDefault="0017474B" w:rsidP="009D22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D22D7">
          <w:rPr>
            <w:rStyle w:val="Hiperpovezava"/>
            <w:rFonts w:ascii="Arial" w:hAnsi="Arial" w:cs="Arial"/>
            <w:sz w:val="20"/>
            <w:szCs w:val="20"/>
          </w:rPr>
          <w:t>https://ec.europa.eu/regional_policy/information-sources/publications/communications/2023/harnessing-talent-in-europe-s-regions_en</w:t>
        </w:r>
      </w:hyperlink>
    </w:p>
    <w:p w:rsidR="0017474B" w:rsidRPr="009D22D7" w:rsidRDefault="0017474B" w:rsidP="009D22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22D7">
        <w:rPr>
          <w:rFonts w:ascii="Arial" w:hAnsi="Arial" w:cs="Arial"/>
          <w:sz w:val="20"/>
          <w:szCs w:val="20"/>
        </w:rPr>
        <w:t>Pripravila:</w:t>
      </w:r>
    </w:p>
    <w:p w:rsidR="0017474B" w:rsidRPr="009D22D7" w:rsidRDefault="0017474B" w:rsidP="009D22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22D7">
        <w:rPr>
          <w:rFonts w:ascii="Arial" w:hAnsi="Arial" w:cs="Arial"/>
          <w:sz w:val="20"/>
          <w:szCs w:val="20"/>
        </w:rPr>
        <w:t>Darja Kocbek</w:t>
      </w:r>
    </w:p>
    <w:sectPr w:rsidR="0017474B" w:rsidRPr="009D22D7" w:rsidSect="00FB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D614A"/>
    <w:multiLevelType w:val="hybridMultilevel"/>
    <w:tmpl w:val="2AFEA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081"/>
    <w:rsid w:val="0017474B"/>
    <w:rsid w:val="00423E5A"/>
    <w:rsid w:val="009D22D7"/>
    <w:rsid w:val="009E0417"/>
    <w:rsid w:val="00A41D48"/>
    <w:rsid w:val="00B44081"/>
    <w:rsid w:val="00B81ED4"/>
    <w:rsid w:val="00FB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5710"/>
  </w:style>
  <w:style w:type="paragraph" w:styleId="Naslov2">
    <w:name w:val="heading 2"/>
    <w:basedOn w:val="Navaden"/>
    <w:link w:val="Naslov2Znak"/>
    <w:uiPriority w:val="9"/>
    <w:qFormat/>
    <w:rsid w:val="00B81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44081"/>
    <w:rPr>
      <w:b/>
      <w:bCs/>
    </w:rPr>
  </w:style>
  <w:style w:type="table" w:styleId="Tabela-mrea">
    <w:name w:val="Table Grid"/>
    <w:basedOn w:val="Navadnatabela"/>
    <w:uiPriority w:val="59"/>
    <w:rsid w:val="00A41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41D4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D22D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81ED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1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information-sources/publications/communications/2023/harnessing-talent-in-europe-s-region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gional_policy/information-sources/publications/communications/2023/harnessing-talent-in-europe-s-region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2023-01-17T17:54:00Z</dcterms:created>
  <dcterms:modified xsi:type="dcterms:W3CDTF">2023-01-17T18:18:00Z</dcterms:modified>
</cp:coreProperties>
</file>