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2C6" w:rsidRPr="008B0C84" w:rsidRDefault="000352C6" w:rsidP="000352C6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8B0C8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2C6" w:rsidRPr="008B0C84" w:rsidRDefault="000352C6" w:rsidP="000352C6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0352C6" w:rsidRPr="008B0C84" w:rsidRDefault="000352C6" w:rsidP="000352C6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8B0C84">
        <w:rPr>
          <w:sz w:val="22"/>
        </w:rPr>
        <w:t>Slovensko gospodarsko in raziskovalno združenje, Bruselj</w:t>
      </w:r>
    </w:p>
    <w:p w:rsidR="000352C6" w:rsidRPr="000003C1" w:rsidRDefault="000352C6" w:rsidP="000352C6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0352C6" w:rsidRPr="000003C1" w:rsidRDefault="000352C6" w:rsidP="000352C6">
      <w:pPr>
        <w:tabs>
          <w:tab w:val="left" w:pos="3120"/>
        </w:tabs>
        <w:spacing w:after="0"/>
        <w:rPr>
          <w:b/>
        </w:rPr>
      </w:pPr>
      <w:r w:rsidRPr="000003C1">
        <w:rPr>
          <w:b/>
        </w:rPr>
        <w:tab/>
      </w:r>
    </w:p>
    <w:p w:rsidR="000352C6" w:rsidRPr="000003C1" w:rsidRDefault="000352C6" w:rsidP="000352C6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Občasna informacija članom 108</w:t>
      </w:r>
      <w:r w:rsidRPr="000003C1">
        <w:rPr>
          <w:b/>
        </w:rPr>
        <w:t xml:space="preserve"> – 2019</w:t>
      </w:r>
    </w:p>
    <w:p w:rsidR="000352C6" w:rsidRPr="000003C1" w:rsidRDefault="000352C6" w:rsidP="000352C6">
      <w:pPr>
        <w:tabs>
          <w:tab w:val="left" w:pos="3120"/>
        </w:tabs>
        <w:spacing w:after="0"/>
        <w:jc w:val="center"/>
        <w:rPr>
          <w:b/>
        </w:rPr>
      </w:pPr>
    </w:p>
    <w:p w:rsidR="000352C6" w:rsidRPr="000003C1" w:rsidRDefault="000352C6" w:rsidP="000352C6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08 jul</w:t>
      </w:r>
      <w:r w:rsidRPr="000003C1">
        <w:rPr>
          <w:b/>
        </w:rPr>
        <w:t>ij 2019</w:t>
      </w:r>
    </w:p>
    <w:p w:rsidR="000352C6" w:rsidRPr="000003C1" w:rsidRDefault="000352C6" w:rsidP="000352C6">
      <w:pPr>
        <w:tabs>
          <w:tab w:val="left" w:pos="3120"/>
        </w:tabs>
        <w:spacing w:after="0"/>
        <w:jc w:val="center"/>
        <w:rPr>
          <w:b/>
        </w:rPr>
      </w:pPr>
    </w:p>
    <w:p w:rsidR="000352C6" w:rsidRDefault="000352C6" w:rsidP="000352C6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Načrt Evropske komisije za razdelitev sredstev iz programa Obzorje 2020 v zadnjem letu njegovega izvajanja</w:t>
      </w:r>
    </w:p>
    <w:p w:rsidR="001E09AB" w:rsidRPr="000352C6" w:rsidRDefault="00AA3189" w:rsidP="000352C6">
      <w:pPr>
        <w:jc w:val="both"/>
        <w:rPr>
          <w:rFonts w:ascii="Arial" w:hAnsi="Arial" w:cs="Arial"/>
          <w:b/>
          <w:i/>
        </w:rPr>
      </w:pPr>
      <w:r w:rsidRPr="000352C6">
        <w:rPr>
          <w:rFonts w:ascii="Arial" w:hAnsi="Arial" w:cs="Arial"/>
          <w:b/>
          <w:i/>
        </w:rPr>
        <w:t xml:space="preserve">Evropska komisija je objavila, kako bo razdelila 11 milijard evrov, ki jih ima še na voljo iz programa EU za znanost in raziskave Obzorje 2020. </w:t>
      </w:r>
      <w:r w:rsidR="001A6A3A" w:rsidRPr="000352C6">
        <w:rPr>
          <w:rFonts w:ascii="Arial" w:hAnsi="Arial" w:cs="Arial"/>
          <w:b/>
          <w:i/>
        </w:rPr>
        <w:t>V zadnjem letu izvajanja tega programa</w:t>
      </w:r>
      <w:r w:rsidR="000352C6">
        <w:rPr>
          <w:rFonts w:ascii="Arial" w:hAnsi="Arial" w:cs="Arial"/>
          <w:b/>
          <w:i/>
        </w:rPr>
        <w:t xml:space="preserve"> se namerava osredotočiti na prednostna področja</w:t>
      </w:r>
      <w:r w:rsidR="001A6A3A" w:rsidRPr="000352C6">
        <w:rPr>
          <w:rFonts w:ascii="Arial" w:hAnsi="Arial" w:cs="Arial"/>
          <w:b/>
          <w:i/>
        </w:rPr>
        <w:t>, ki so podnebne spremembe, čista energija, plastika, kibernetska varnost in digitalno gospodarstvo. Člani lahko dobijo na SBRA več informacij, pomoč pri pripravi prijav na razpise in iskanju konzorcijev.</w:t>
      </w:r>
    </w:p>
    <w:p w:rsidR="001A6A3A" w:rsidRPr="000352C6" w:rsidRDefault="001A6A3A" w:rsidP="000352C6">
      <w:pPr>
        <w:jc w:val="both"/>
        <w:rPr>
          <w:rFonts w:ascii="Arial" w:hAnsi="Arial" w:cs="Arial"/>
          <w:sz w:val="20"/>
          <w:szCs w:val="20"/>
        </w:rPr>
      </w:pPr>
      <w:r w:rsidRPr="000352C6">
        <w:rPr>
          <w:rFonts w:ascii="Arial" w:hAnsi="Arial" w:cs="Arial"/>
          <w:sz w:val="20"/>
          <w:szCs w:val="20"/>
        </w:rPr>
        <w:t>Ob delitvi sredstev iz programa Obzorje 2020 v zadnjem letu njegovega izvajanja bo Evropska komisija upoštevala tudi program Obzorje Evropa, ki bo nov program EU za raziskave in inovacije v finančnem obdobju od leta 2021-2027. Ena od novosti, ki ga bo ta program uvedel je Evropski svet za inovacije (EIC), ki je v pilotni fazi že v poskusnem izvajanju. Zanj bo v zadnjem letu izvajanja programa Obzorje 2020 na voljo 1,2 milijarde evrov.</w:t>
      </w:r>
    </w:p>
    <w:p w:rsidR="001A6A3A" w:rsidRPr="000352C6" w:rsidRDefault="00FF30E6" w:rsidP="000352C6">
      <w:pPr>
        <w:jc w:val="both"/>
        <w:rPr>
          <w:rFonts w:ascii="Arial" w:hAnsi="Arial" w:cs="Arial"/>
          <w:b/>
          <w:sz w:val="20"/>
          <w:szCs w:val="20"/>
        </w:rPr>
      </w:pPr>
      <w:r w:rsidRPr="000352C6">
        <w:rPr>
          <w:rFonts w:ascii="Arial" w:hAnsi="Arial" w:cs="Arial"/>
          <w:b/>
          <w:sz w:val="20"/>
          <w:szCs w:val="20"/>
        </w:rPr>
        <w:t>Tabela 1: Pregled zneskov sredstev, ki bodo prek razpisov na voljo  za prednostna področja</w:t>
      </w: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FF30E6" w:rsidRPr="000352C6" w:rsidTr="00FF30E6">
        <w:tc>
          <w:tcPr>
            <w:tcW w:w="4606" w:type="dxa"/>
          </w:tcPr>
          <w:p w:rsidR="00FF30E6" w:rsidRPr="000352C6" w:rsidRDefault="00FF30E6" w:rsidP="000352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352C6">
              <w:rPr>
                <w:rFonts w:ascii="Arial" w:hAnsi="Arial" w:cs="Arial"/>
                <w:b/>
                <w:sz w:val="20"/>
                <w:szCs w:val="20"/>
              </w:rPr>
              <w:t>Prednostno področje</w:t>
            </w:r>
          </w:p>
        </w:tc>
        <w:tc>
          <w:tcPr>
            <w:tcW w:w="4606" w:type="dxa"/>
          </w:tcPr>
          <w:p w:rsidR="00FF30E6" w:rsidRPr="000352C6" w:rsidRDefault="00FF30E6" w:rsidP="000352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352C6">
              <w:rPr>
                <w:rFonts w:ascii="Arial" w:hAnsi="Arial" w:cs="Arial"/>
                <w:b/>
                <w:sz w:val="20"/>
                <w:szCs w:val="20"/>
              </w:rPr>
              <w:t>Znesek, ki je na voljo za razpise</w:t>
            </w:r>
          </w:p>
        </w:tc>
      </w:tr>
      <w:tr w:rsidR="00FF30E6" w:rsidRPr="000352C6" w:rsidTr="00FF30E6">
        <w:tc>
          <w:tcPr>
            <w:tcW w:w="4606" w:type="dxa"/>
          </w:tcPr>
          <w:p w:rsidR="00FF30E6" w:rsidRPr="000352C6" w:rsidRDefault="000352C6" w:rsidP="000352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Projekti za vzpostavitev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nizko</w:t>
            </w:r>
            <w:r w:rsidR="00FF30E6" w:rsidRPr="000352C6">
              <w:rPr>
                <w:rFonts w:ascii="Arial" w:hAnsi="Arial" w:cs="Arial"/>
                <w:sz w:val="20"/>
                <w:szCs w:val="20"/>
              </w:rPr>
              <w:t>ogljične</w:t>
            </w:r>
            <w:proofErr w:type="spellEnd"/>
            <w:r w:rsidR="00FF30E6" w:rsidRPr="000352C6">
              <w:rPr>
                <w:rFonts w:ascii="Arial" w:hAnsi="Arial" w:cs="Arial"/>
                <w:sz w:val="20"/>
                <w:szCs w:val="20"/>
              </w:rPr>
              <w:t>,  podnebju odporne prihodnosti</w:t>
            </w:r>
          </w:p>
        </w:tc>
        <w:tc>
          <w:tcPr>
            <w:tcW w:w="4606" w:type="dxa"/>
          </w:tcPr>
          <w:p w:rsidR="00FF30E6" w:rsidRPr="000352C6" w:rsidRDefault="00FF30E6" w:rsidP="000352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2C6">
              <w:rPr>
                <w:rFonts w:ascii="Arial" w:hAnsi="Arial" w:cs="Arial"/>
                <w:sz w:val="20"/>
                <w:szCs w:val="20"/>
              </w:rPr>
              <w:t>1,4 milijarde evrov</w:t>
            </w:r>
          </w:p>
        </w:tc>
      </w:tr>
      <w:tr w:rsidR="00FF30E6" w:rsidRPr="000352C6" w:rsidTr="00FF30E6">
        <w:tc>
          <w:tcPr>
            <w:tcW w:w="4606" w:type="dxa"/>
          </w:tcPr>
          <w:p w:rsidR="00FF30E6" w:rsidRPr="000352C6" w:rsidRDefault="00FF30E6" w:rsidP="000352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2C6">
              <w:rPr>
                <w:rFonts w:ascii="Arial" w:hAnsi="Arial" w:cs="Arial"/>
                <w:sz w:val="20"/>
                <w:szCs w:val="20"/>
              </w:rPr>
              <w:t>Projekti za povezovanje ekonomskih in okoljskih koristi – krožno gospodarstvo</w:t>
            </w:r>
          </w:p>
        </w:tc>
        <w:tc>
          <w:tcPr>
            <w:tcW w:w="4606" w:type="dxa"/>
          </w:tcPr>
          <w:p w:rsidR="00FF30E6" w:rsidRPr="000352C6" w:rsidRDefault="00FF30E6" w:rsidP="000352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2C6">
              <w:rPr>
                <w:rFonts w:ascii="Arial" w:hAnsi="Arial" w:cs="Arial"/>
                <w:sz w:val="20"/>
                <w:szCs w:val="20"/>
              </w:rPr>
              <w:t>400,7 milijona evrov</w:t>
            </w:r>
          </w:p>
        </w:tc>
      </w:tr>
      <w:tr w:rsidR="00FF30E6" w:rsidRPr="000352C6" w:rsidTr="00FF30E6">
        <w:tc>
          <w:tcPr>
            <w:tcW w:w="4606" w:type="dxa"/>
          </w:tcPr>
          <w:p w:rsidR="00FF30E6" w:rsidRPr="000352C6" w:rsidRDefault="00D8569E" w:rsidP="000352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2C6">
              <w:rPr>
                <w:rFonts w:ascii="Arial" w:hAnsi="Arial" w:cs="Arial"/>
                <w:sz w:val="20"/>
                <w:szCs w:val="20"/>
              </w:rPr>
              <w:t>Projekti za digitalizacijo in preobrazbo evropske industrije in storitev</w:t>
            </w:r>
          </w:p>
        </w:tc>
        <w:tc>
          <w:tcPr>
            <w:tcW w:w="4606" w:type="dxa"/>
          </w:tcPr>
          <w:p w:rsidR="00FF30E6" w:rsidRPr="000352C6" w:rsidRDefault="00D8569E" w:rsidP="000352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2C6">
              <w:rPr>
                <w:rFonts w:ascii="Arial" w:hAnsi="Arial" w:cs="Arial"/>
                <w:sz w:val="20"/>
                <w:szCs w:val="20"/>
              </w:rPr>
              <w:t>649,1 milijona evrov</w:t>
            </w:r>
          </w:p>
        </w:tc>
      </w:tr>
      <w:tr w:rsidR="00FF30E6" w:rsidRPr="000352C6" w:rsidTr="00FF30E6">
        <w:tc>
          <w:tcPr>
            <w:tcW w:w="4606" w:type="dxa"/>
          </w:tcPr>
          <w:p w:rsidR="00FF30E6" w:rsidRPr="000352C6" w:rsidRDefault="00D8569E" w:rsidP="000352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2C6">
              <w:rPr>
                <w:rFonts w:ascii="Arial" w:hAnsi="Arial" w:cs="Arial"/>
                <w:sz w:val="20"/>
                <w:szCs w:val="20"/>
              </w:rPr>
              <w:t>Projekti za povečanje učinkovitosti varnostne unije</w:t>
            </w:r>
          </w:p>
        </w:tc>
        <w:tc>
          <w:tcPr>
            <w:tcW w:w="4606" w:type="dxa"/>
          </w:tcPr>
          <w:p w:rsidR="00FF30E6" w:rsidRPr="000352C6" w:rsidRDefault="00D8569E" w:rsidP="000352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2C6">
              <w:rPr>
                <w:rFonts w:ascii="Arial" w:hAnsi="Arial" w:cs="Arial"/>
                <w:sz w:val="20"/>
                <w:szCs w:val="20"/>
              </w:rPr>
              <w:t>427,4 milijona evrov</w:t>
            </w:r>
          </w:p>
        </w:tc>
      </w:tr>
    </w:tbl>
    <w:p w:rsidR="00FF30E6" w:rsidRPr="000352C6" w:rsidRDefault="00D8569E" w:rsidP="000352C6">
      <w:pPr>
        <w:jc w:val="both"/>
        <w:rPr>
          <w:rFonts w:ascii="Arial" w:hAnsi="Arial" w:cs="Arial"/>
          <w:sz w:val="20"/>
          <w:szCs w:val="20"/>
        </w:rPr>
      </w:pPr>
      <w:r w:rsidRPr="000352C6">
        <w:rPr>
          <w:rFonts w:ascii="Arial" w:hAnsi="Arial" w:cs="Arial"/>
          <w:sz w:val="20"/>
          <w:szCs w:val="20"/>
        </w:rPr>
        <w:t>Vir: Evropska komisija</w:t>
      </w:r>
    </w:p>
    <w:p w:rsidR="00D8569E" w:rsidRPr="000352C6" w:rsidRDefault="00D8569E" w:rsidP="000352C6">
      <w:pPr>
        <w:jc w:val="both"/>
        <w:rPr>
          <w:rFonts w:ascii="Arial" w:hAnsi="Arial" w:cs="Arial"/>
          <w:b/>
          <w:sz w:val="20"/>
          <w:szCs w:val="20"/>
        </w:rPr>
      </w:pPr>
      <w:r w:rsidRPr="000352C6">
        <w:rPr>
          <w:rFonts w:ascii="Arial" w:hAnsi="Arial" w:cs="Arial"/>
          <w:b/>
          <w:sz w:val="20"/>
          <w:szCs w:val="20"/>
        </w:rPr>
        <w:t>Koristne informacije:</w:t>
      </w:r>
    </w:p>
    <w:p w:rsidR="00D8569E" w:rsidRPr="000352C6" w:rsidRDefault="00D8569E" w:rsidP="000352C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352C6">
        <w:rPr>
          <w:rFonts w:ascii="Arial" w:hAnsi="Arial" w:cs="Arial"/>
          <w:sz w:val="20"/>
          <w:szCs w:val="20"/>
        </w:rPr>
        <w:t>Pojasnila Evropske komisije o predvideni razdelitvi sredstev:</w:t>
      </w:r>
    </w:p>
    <w:p w:rsidR="00D8569E" w:rsidRPr="000352C6" w:rsidRDefault="00D8569E" w:rsidP="000352C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0352C6">
          <w:rPr>
            <w:rStyle w:val="Hiperpovezava"/>
            <w:rFonts w:ascii="Arial" w:hAnsi="Arial" w:cs="Arial"/>
            <w:sz w:val="20"/>
            <w:szCs w:val="20"/>
          </w:rPr>
          <w:t>https://ec.europa.eu/info/news/commission-invest-eu11-billion-new-solutions-societal-challenges-and-drive-innovation-led-sustainable-growth-2019-jul-02_en</w:t>
        </w:r>
      </w:hyperlink>
    </w:p>
    <w:p w:rsidR="00D8569E" w:rsidRPr="000352C6" w:rsidRDefault="00A237CA" w:rsidP="000352C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352C6">
        <w:rPr>
          <w:rFonts w:ascii="Arial" w:hAnsi="Arial" w:cs="Arial"/>
          <w:sz w:val="20"/>
          <w:szCs w:val="20"/>
        </w:rPr>
        <w:t>Predvidena razdelitev sredstev za prednostna področja z napovedjo objave nekaterih razpisov:</w:t>
      </w:r>
    </w:p>
    <w:p w:rsidR="00A237CA" w:rsidRPr="000352C6" w:rsidRDefault="00A237CA" w:rsidP="000352C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0352C6">
          <w:rPr>
            <w:rStyle w:val="Hiperpovezava"/>
            <w:rFonts w:ascii="Arial" w:hAnsi="Arial" w:cs="Arial"/>
            <w:sz w:val="20"/>
            <w:szCs w:val="20"/>
          </w:rPr>
          <w:t>https://ec.europa.eu/research/pdf/factsheet_focus-area_h2020.pdf</w:t>
        </w:r>
      </w:hyperlink>
    </w:p>
    <w:p w:rsidR="00A237CA" w:rsidRPr="000352C6" w:rsidRDefault="00A237CA" w:rsidP="000352C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352C6">
        <w:rPr>
          <w:rFonts w:ascii="Arial" w:hAnsi="Arial" w:cs="Arial"/>
          <w:sz w:val="20"/>
          <w:szCs w:val="20"/>
        </w:rPr>
        <w:lastRenderedPageBreak/>
        <w:t>Spletna stran z informacijami o programu Obzorje Evropa:</w:t>
      </w:r>
    </w:p>
    <w:p w:rsidR="00A237CA" w:rsidRPr="000352C6" w:rsidRDefault="00A237CA" w:rsidP="000352C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0352C6">
          <w:rPr>
            <w:rStyle w:val="Hiperpovezava"/>
            <w:rFonts w:ascii="Arial" w:hAnsi="Arial" w:cs="Arial"/>
            <w:sz w:val="20"/>
            <w:szCs w:val="20"/>
          </w:rPr>
          <w:t>https://ec.europa.eu/info/designing-next-research-and-innovation-framework-programme/what-shapes-next-framework-programme_en</w:t>
        </w:r>
      </w:hyperlink>
    </w:p>
    <w:p w:rsidR="00A237CA" w:rsidRPr="000352C6" w:rsidRDefault="00A237CA" w:rsidP="000352C6">
      <w:pPr>
        <w:spacing w:after="0"/>
        <w:jc w:val="both"/>
        <w:rPr>
          <w:rFonts w:ascii="Arial" w:hAnsi="Arial" w:cs="Arial"/>
          <w:sz w:val="20"/>
          <w:szCs w:val="20"/>
        </w:rPr>
      </w:pPr>
      <w:r w:rsidRPr="000352C6">
        <w:rPr>
          <w:rFonts w:ascii="Arial" w:hAnsi="Arial" w:cs="Arial"/>
          <w:sz w:val="20"/>
          <w:szCs w:val="20"/>
        </w:rPr>
        <w:t>Pripravila:</w:t>
      </w:r>
    </w:p>
    <w:p w:rsidR="00A237CA" w:rsidRPr="000352C6" w:rsidRDefault="000352C6" w:rsidP="000352C6">
      <w:pPr>
        <w:spacing w:after="0"/>
        <w:jc w:val="both"/>
        <w:rPr>
          <w:rFonts w:ascii="Arial" w:hAnsi="Arial" w:cs="Arial"/>
          <w:sz w:val="20"/>
          <w:szCs w:val="20"/>
        </w:rPr>
      </w:pPr>
      <w:r w:rsidRPr="000352C6">
        <w:rPr>
          <w:rFonts w:ascii="Arial" w:hAnsi="Arial" w:cs="Arial"/>
          <w:sz w:val="20"/>
          <w:szCs w:val="20"/>
        </w:rPr>
        <w:t>Darja Ko</w:t>
      </w:r>
      <w:r w:rsidR="00A237CA" w:rsidRPr="000352C6">
        <w:rPr>
          <w:rFonts w:ascii="Arial" w:hAnsi="Arial" w:cs="Arial"/>
          <w:sz w:val="20"/>
          <w:szCs w:val="20"/>
        </w:rPr>
        <w:t>cbek</w:t>
      </w:r>
    </w:p>
    <w:sectPr w:rsidR="00A237CA" w:rsidRPr="000352C6" w:rsidSect="001E0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031E1"/>
    <w:multiLevelType w:val="hybridMultilevel"/>
    <w:tmpl w:val="A62A20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3189"/>
    <w:rsid w:val="000352C6"/>
    <w:rsid w:val="001A6A3A"/>
    <w:rsid w:val="001E09AB"/>
    <w:rsid w:val="004D51AC"/>
    <w:rsid w:val="00A237CA"/>
    <w:rsid w:val="00AA3189"/>
    <w:rsid w:val="00D8569E"/>
    <w:rsid w:val="00FF3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E09AB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352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FF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D8569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352C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0352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5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52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designing-next-research-and-innovation-framework-programme/what-shapes-next-framework-programme_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research/pdf/factsheet_focus-area_h20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news/commission-invest-eu11-billion-new-solutions-societal-challenges-and-drive-innovation-led-sustainable-growth-2019-jul-02_e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2019-07-02T15:12:00Z</dcterms:created>
  <dcterms:modified xsi:type="dcterms:W3CDTF">2019-07-02T16:39:00Z</dcterms:modified>
</cp:coreProperties>
</file>